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35C" w14:textId="77777777" w:rsidR="00F5717B" w:rsidRDefault="00F5717B"/>
    <w:p w14:paraId="5F378284" w14:textId="77777777" w:rsidR="007C5706" w:rsidRDefault="007C5706"/>
    <w:p w14:paraId="0A1EA50D" w14:textId="77777777" w:rsidR="007C5706" w:rsidRDefault="007C5706"/>
    <w:p w14:paraId="40D4EAC1" w14:textId="77777777" w:rsidR="002249EB" w:rsidRPr="00AD1666" w:rsidRDefault="002249EB" w:rsidP="002249EB">
      <w:pPr>
        <w:jc w:val="center"/>
      </w:pPr>
      <w:r w:rsidRPr="00AD1666">
        <w:t>SELETUSKIRI</w:t>
      </w:r>
    </w:p>
    <w:p w14:paraId="433ED31E" w14:textId="77777777" w:rsidR="002249EB" w:rsidRPr="00AD1666" w:rsidRDefault="002249EB" w:rsidP="002249EB">
      <w:pPr>
        <w:jc w:val="center"/>
      </w:pPr>
    </w:p>
    <w:p w14:paraId="699778F3" w14:textId="77777777" w:rsidR="00973817" w:rsidRPr="00AD1666" w:rsidRDefault="00973817" w:rsidP="00973817">
      <w:pPr>
        <w:jc w:val="center"/>
        <w:rPr>
          <w:b/>
          <w:bCs/>
        </w:rPr>
      </w:pPr>
      <w:r w:rsidRPr="00AD1666">
        <w:rPr>
          <w:b/>
          <w:bCs/>
        </w:rPr>
        <w:t>Vabariigi Valitsuse korralduse</w:t>
      </w:r>
    </w:p>
    <w:p w14:paraId="7307F19E" w14:textId="77777777" w:rsidR="00973817" w:rsidRPr="00AD1666" w:rsidRDefault="00973817" w:rsidP="00973817">
      <w:pPr>
        <w:jc w:val="center"/>
        <w:rPr>
          <w:b/>
          <w:bCs/>
        </w:rPr>
      </w:pPr>
      <w:r w:rsidRPr="00AD1666">
        <w:rPr>
          <w:b/>
          <w:bCs/>
        </w:rPr>
        <w:t>„Nõusolek riigivara avalikul enampakkumisel tasu eest</w:t>
      </w:r>
    </w:p>
    <w:p w14:paraId="72A6F1FB" w14:textId="0460D7E4" w:rsidR="00973817" w:rsidRPr="00AD1666" w:rsidRDefault="00973817" w:rsidP="00973817">
      <w:pPr>
        <w:jc w:val="center"/>
        <w:rPr>
          <w:b/>
          <w:bCs/>
        </w:rPr>
      </w:pPr>
      <w:r w:rsidRPr="00AD1666">
        <w:rPr>
          <w:b/>
          <w:bCs/>
        </w:rPr>
        <w:t>kasuta</w:t>
      </w:r>
      <w:r w:rsidR="00254D85">
        <w:rPr>
          <w:b/>
          <w:bCs/>
        </w:rPr>
        <w:t>da</w:t>
      </w:r>
      <w:r w:rsidRPr="00AD1666">
        <w:rPr>
          <w:b/>
          <w:bCs/>
        </w:rPr>
        <w:t xml:space="preserve"> andmiseks“ eelnõu juurde</w:t>
      </w:r>
    </w:p>
    <w:p w14:paraId="10EA2B07" w14:textId="77777777" w:rsidR="00973817" w:rsidRPr="00AD1666" w:rsidRDefault="00973817" w:rsidP="00973817">
      <w:pPr>
        <w:jc w:val="center"/>
      </w:pPr>
    </w:p>
    <w:p w14:paraId="2A150786" w14:textId="1E48D22B" w:rsidR="00973817" w:rsidRPr="003E5039" w:rsidRDefault="00973817" w:rsidP="003E5039">
      <w:pPr>
        <w:pStyle w:val="Pealkiri1"/>
        <w:numPr>
          <w:ilvl w:val="0"/>
          <w:numId w:val="17"/>
        </w:numPr>
        <w:spacing w:after="240"/>
        <w:ind w:left="284" w:hanging="284"/>
        <w:rPr>
          <w:rFonts w:cs="Times New Roman"/>
          <w:szCs w:val="24"/>
        </w:rPr>
      </w:pPr>
      <w:r w:rsidRPr="00AD1666">
        <w:rPr>
          <w:rFonts w:cs="Times New Roman"/>
          <w:szCs w:val="24"/>
        </w:rPr>
        <w:t>Eelnõus nimetatud kinnisasjad</w:t>
      </w:r>
    </w:p>
    <w:p w14:paraId="01554743" w14:textId="2D960001" w:rsidR="00DD04D6" w:rsidRPr="00AD1666" w:rsidRDefault="007D2D24" w:rsidP="003E5039">
      <w:pPr>
        <w:spacing w:before="240" w:after="240"/>
      </w:pPr>
      <w:r w:rsidRPr="00AD1666">
        <w:t xml:space="preserve">Riigi omandis </w:t>
      </w:r>
      <w:r w:rsidR="00350F00">
        <w:t>Majandus- ja Kommunikatsiooni</w:t>
      </w:r>
      <w:r w:rsidRPr="00AD1666">
        <w:t xml:space="preserve">ministeeriumi valitsemisel on </w:t>
      </w:r>
      <w:r w:rsidR="00EA566E" w:rsidRPr="00EA566E">
        <w:t>Ida-Viru</w:t>
      </w:r>
      <w:r w:rsidR="007120C5" w:rsidRPr="00EA566E">
        <w:t>, Pärnu ja Viljandi</w:t>
      </w:r>
      <w:r w:rsidRPr="00EA566E">
        <w:t xml:space="preserve"> </w:t>
      </w:r>
      <w:r w:rsidRPr="00AD1666">
        <w:t>maakonnas asuvad järgmised kinnisasjad</w:t>
      </w:r>
      <w:r w:rsidR="00CE3F16" w:rsidRPr="00AD1666">
        <w:t xml:space="preserve"> (edaspidi </w:t>
      </w:r>
      <w:r w:rsidR="00CE3F16" w:rsidRPr="00AD1666">
        <w:rPr>
          <w:i/>
          <w:iCs/>
        </w:rPr>
        <w:t>kinnisasjad</w:t>
      </w:r>
      <w:r w:rsidR="00CE3F16" w:rsidRPr="00AD1666">
        <w:t>)</w:t>
      </w:r>
      <w:r w:rsidRPr="00AD1666">
        <w:t>:</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
        <w:gridCol w:w="967"/>
        <w:gridCol w:w="992"/>
        <w:gridCol w:w="993"/>
        <w:gridCol w:w="1134"/>
        <w:gridCol w:w="1417"/>
        <w:gridCol w:w="1559"/>
        <w:gridCol w:w="1696"/>
      </w:tblGrid>
      <w:tr w:rsidR="000F5E59" w:rsidRPr="00AD1666" w14:paraId="3A88E16B" w14:textId="7A6FA3B9" w:rsidTr="003A463F">
        <w:trPr>
          <w:trHeight w:val="284"/>
          <w:jc w:val="center"/>
        </w:trPr>
        <w:tc>
          <w:tcPr>
            <w:tcW w:w="304" w:type="dxa"/>
            <w:tcMar>
              <w:left w:w="28" w:type="dxa"/>
              <w:right w:w="28" w:type="dxa"/>
            </w:tcMar>
            <w:vAlign w:val="center"/>
            <w:hideMark/>
          </w:tcPr>
          <w:p w14:paraId="7568871E" w14:textId="77777777" w:rsidR="00F236DD" w:rsidRPr="00ED2410" w:rsidRDefault="00F236DD" w:rsidP="003E5039">
            <w:pPr>
              <w:jc w:val="center"/>
              <w:rPr>
                <w:b/>
                <w:bCs/>
                <w:sz w:val="20"/>
                <w:szCs w:val="20"/>
                <w:lang w:eastAsia="et-EE"/>
              </w:rPr>
            </w:pPr>
            <w:r w:rsidRPr="00ED2410">
              <w:rPr>
                <w:b/>
                <w:bCs/>
                <w:sz w:val="20"/>
                <w:szCs w:val="20"/>
                <w:lang w:eastAsia="et-EE"/>
              </w:rPr>
              <w:t>Nr</w:t>
            </w:r>
          </w:p>
        </w:tc>
        <w:tc>
          <w:tcPr>
            <w:tcW w:w="967" w:type="dxa"/>
            <w:noWrap/>
            <w:tcMar>
              <w:left w:w="28" w:type="dxa"/>
              <w:right w:w="28" w:type="dxa"/>
            </w:tcMar>
            <w:vAlign w:val="center"/>
            <w:hideMark/>
          </w:tcPr>
          <w:p w14:paraId="46147D37" w14:textId="77777777" w:rsidR="00F236DD" w:rsidRPr="00ED2410" w:rsidRDefault="00F236DD" w:rsidP="003E5039">
            <w:pPr>
              <w:jc w:val="center"/>
              <w:rPr>
                <w:b/>
                <w:bCs/>
                <w:sz w:val="20"/>
                <w:szCs w:val="20"/>
                <w:lang w:eastAsia="et-EE"/>
              </w:rPr>
            </w:pPr>
            <w:r w:rsidRPr="00ED2410">
              <w:rPr>
                <w:b/>
                <w:bCs/>
                <w:sz w:val="20"/>
                <w:szCs w:val="20"/>
                <w:lang w:eastAsia="et-EE"/>
              </w:rPr>
              <w:t>Maakond</w:t>
            </w:r>
          </w:p>
        </w:tc>
        <w:tc>
          <w:tcPr>
            <w:tcW w:w="992" w:type="dxa"/>
            <w:noWrap/>
            <w:tcMar>
              <w:left w:w="28" w:type="dxa"/>
              <w:right w:w="28" w:type="dxa"/>
            </w:tcMar>
            <w:vAlign w:val="center"/>
            <w:hideMark/>
          </w:tcPr>
          <w:p w14:paraId="1B146F70" w14:textId="77777777" w:rsidR="00F236DD" w:rsidRPr="00ED2410" w:rsidRDefault="00F236DD" w:rsidP="003E5039">
            <w:pPr>
              <w:jc w:val="center"/>
              <w:rPr>
                <w:b/>
                <w:bCs/>
                <w:sz w:val="20"/>
                <w:szCs w:val="20"/>
                <w:lang w:eastAsia="et-EE"/>
              </w:rPr>
            </w:pPr>
            <w:r w:rsidRPr="00ED2410">
              <w:rPr>
                <w:b/>
                <w:bCs/>
                <w:sz w:val="20"/>
                <w:szCs w:val="20"/>
                <w:lang w:eastAsia="et-EE"/>
              </w:rPr>
              <w:t>Vald</w:t>
            </w:r>
          </w:p>
        </w:tc>
        <w:tc>
          <w:tcPr>
            <w:tcW w:w="993" w:type="dxa"/>
            <w:noWrap/>
            <w:tcMar>
              <w:left w:w="28" w:type="dxa"/>
              <w:right w:w="28" w:type="dxa"/>
            </w:tcMar>
            <w:vAlign w:val="center"/>
            <w:hideMark/>
          </w:tcPr>
          <w:p w14:paraId="7A03E7F6" w14:textId="77777777" w:rsidR="00F236DD" w:rsidRPr="00ED2410" w:rsidRDefault="00F236DD" w:rsidP="003E5039">
            <w:pPr>
              <w:jc w:val="center"/>
              <w:rPr>
                <w:b/>
                <w:bCs/>
                <w:sz w:val="20"/>
                <w:szCs w:val="20"/>
                <w:lang w:eastAsia="et-EE"/>
              </w:rPr>
            </w:pPr>
            <w:r w:rsidRPr="00ED2410">
              <w:rPr>
                <w:b/>
                <w:bCs/>
                <w:sz w:val="20"/>
                <w:szCs w:val="20"/>
                <w:lang w:eastAsia="et-EE"/>
              </w:rPr>
              <w:t>Küla</w:t>
            </w:r>
          </w:p>
        </w:tc>
        <w:tc>
          <w:tcPr>
            <w:tcW w:w="1134" w:type="dxa"/>
            <w:noWrap/>
            <w:tcMar>
              <w:left w:w="28" w:type="dxa"/>
              <w:right w:w="28" w:type="dxa"/>
            </w:tcMar>
            <w:vAlign w:val="center"/>
            <w:hideMark/>
          </w:tcPr>
          <w:p w14:paraId="02E6C520" w14:textId="77777777" w:rsidR="00F236DD" w:rsidRPr="00ED2410" w:rsidRDefault="00F236DD" w:rsidP="003E5039">
            <w:pPr>
              <w:jc w:val="center"/>
              <w:rPr>
                <w:b/>
                <w:bCs/>
                <w:sz w:val="20"/>
                <w:szCs w:val="20"/>
                <w:lang w:eastAsia="et-EE"/>
              </w:rPr>
            </w:pPr>
            <w:r w:rsidRPr="00ED2410">
              <w:rPr>
                <w:b/>
                <w:bCs/>
                <w:sz w:val="20"/>
                <w:szCs w:val="20"/>
                <w:lang w:eastAsia="et-EE"/>
              </w:rPr>
              <w:t>Lähiaadress</w:t>
            </w:r>
          </w:p>
        </w:tc>
        <w:tc>
          <w:tcPr>
            <w:tcW w:w="1417" w:type="dxa"/>
            <w:noWrap/>
            <w:tcMar>
              <w:left w:w="28" w:type="dxa"/>
              <w:right w:w="28" w:type="dxa"/>
            </w:tcMar>
            <w:vAlign w:val="center"/>
            <w:hideMark/>
          </w:tcPr>
          <w:p w14:paraId="6A2520BC" w14:textId="77777777" w:rsidR="00F236DD" w:rsidRPr="00ED2410" w:rsidRDefault="00F236DD" w:rsidP="003E5039">
            <w:pPr>
              <w:jc w:val="center"/>
              <w:rPr>
                <w:b/>
                <w:bCs/>
                <w:sz w:val="20"/>
                <w:szCs w:val="20"/>
                <w:lang w:eastAsia="et-EE"/>
              </w:rPr>
            </w:pPr>
            <w:r w:rsidRPr="00ED2410">
              <w:rPr>
                <w:b/>
                <w:bCs/>
                <w:sz w:val="20"/>
                <w:szCs w:val="20"/>
                <w:lang w:eastAsia="et-EE"/>
              </w:rPr>
              <w:t>Katastritunnus</w:t>
            </w:r>
          </w:p>
        </w:tc>
        <w:tc>
          <w:tcPr>
            <w:tcW w:w="1559" w:type="dxa"/>
            <w:noWrap/>
            <w:tcMar>
              <w:left w:w="28" w:type="dxa"/>
              <w:right w:w="28" w:type="dxa"/>
            </w:tcMar>
            <w:vAlign w:val="center"/>
            <w:hideMark/>
          </w:tcPr>
          <w:p w14:paraId="30474E05" w14:textId="77777777" w:rsidR="00F236DD" w:rsidRPr="00ED2410" w:rsidRDefault="00F236DD" w:rsidP="003E5039">
            <w:pPr>
              <w:jc w:val="center"/>
              <w:rPr>
                <w:b/>
                <w:bCs/>
                <w:sz w:val="20"/>
                <w:szCs w:val="20"/>
                <w:lang w:eastAsia="et-EE"/>
              </w:rPr>
            </w:pPr>
            <w:r w:rsidRPr="00ED2410">
              <w:rPr>
                <w:b/>
                <w:bCs/>
                <w:sz w:val="20"/>
                <w:szCs w:val="20"/>
                <w:lang w:eastAsia="et-EE"/>
              </w:rPr>
              <w:t>Sihtotstarve</w:t>
            </w:r>
          </w:p>
        </w:tc>
        <w:tc>
          <w:tcPr>
            <w:tcW w:w="1696" w:type="dxa"/>
            <w:vAlign w:val="center"/>
          </w:tcPr>
          <w:p w14:paraId="27E8DE47" w14:textId="37B172F8" w:rsidR="00F236DD" w:rsidRPr="00ED2410" w:rsidRDefault="00281E3B" w:rsidP="003E5039">
            <w:pPr>
              <w:jc w:val="center"/>
              <w:rPr>
                <w:b/>
                <w:bCs/>
                <w:sz w:val="20"/>
                <w:szCs w:val="20"/>
                <w:lang w:eastAsia="et-EE"/>
              </w:rPr>
            </w:pPr>
            <w:r>
              <w:rPr>
                <w:b/>
                <w:bCs/>
                <w:sz w:val="20"/>
                <w:szCs w:val="20"/>
                <w:lang w:eastAsia="et-EE"/>
              </w:rPr>
              <w:t>A</w:t>
            </w:r>
            <w:r w:rsidR="000F5E59">
              <w:rPr>
                <w:b/>
                <w:bCs/>
                <w:sz w:val="20"/>
                <w:szCs w:val="20"/>
                <w:lang w:eastAsia="et-EE"/>
              </w:rPr>
              <w:t>la nimetus</w:t>
            </w:r>
          </w:p>
        </w:tc>
      </w:tr>
      <w:tr w:rsidR="00EA566E" w:rsidRPr="00AD1666" w14:paraId="714876A8" w14:textId="77777777" w:rsidTr="003A463F">
        <w:trPr>
          <w:trHeight w:val="284"/>
          <w:jc w:val="center"/>
        </w:trPr>
        <w:tc>
          <w:tcPr>
            <w:tcW w:w="304" w:type="dxa"/>
            <w:tcMar>
              <w:left w:w="28" w:type="dxa"/>
              <w:right w:w="28" w:type="dxa"/>
            </w:tcMar>
            <w:vAlign w:val="center"/>
          </w:tcPr>
          <w:p w14:paraId="57593B4F" w14:textId="4A30DC14" w:rsidR="00EA566E" w:rsidRPr="00ED2410" w:rsidRDefault="00EA566E" w:rsidP="003E5039">
            <w:pPr>
              <w:jc w:val="center"/>
              <w:rPr>
                <w:b/>
                <w:bCs/>
                <w:sz w:val="20"/>
                <w:szCs w:val="20"/>
                <w:lang w:eastAsia="et-EE"/>
              </w:rPr>
            </w:pPr>
            <w:r>
              <w:rPr>
                <w:b/>
                <w:bCs/>
                <w:sz w:val="20"/>
                <w:szCs w:val="20"/>
                <w:lang w:eastAsia="et-EE"/>
              </w:rPr>
              <w:t>1</w:t>
            </w:r>
          </w:p>
        </w:tc>
        <w:tc>
          <w:tcPr>
            <w:tcW w:w="967" w:type="dxa"/>
            <w:noWrap/>
            <w:tcMar>
              <w:left w:w="28" w:type="dxa"/>
              <w:right w:w="28" w:type="dxa"/>
            </w:tcMar>
            <w:vAlign w:val="center"/>
          </w:tcPr>
          <w:p w14:paraId="15453CD7" w14:textId="65BB165D" w:rsidR="00EA566E" w:rsidRPr="00ED2410" w:rsidRDefault="00EA566E" w:rsidP="003E5039">
            <w:pPr>
              <w:jc w:val="center"/>
              <w:rPr>
                <w:b/>
                <w:bCs/>
                <w:sz w:val="20"/>
                <w:szCs w:val="20"/>
                <w:lang w:eastAsia="et-EE"/>
              </w:rPr>
            </w:pPr>
            <w:r w:rsidRPr="00EA566E">
              <w:rPr>
                <w:sz w:val="20"/>
                <w:szCs w:val="20"/>
              </w:rPr>
              <w:t>Ida-Viru</w:t>
            </w:r>
          </w:p>
        </w:tc>
        <w:tc>
          <w:tcPr>
            <w:tcW w:w="992" w:type="dxa"/>
            <w:noWrap/>
            <w:tcMar>
              <w:left w:w="28" w:type="dxa"/>
              <w:right w:w="28" w:type="dxa"/>
            </w:tcMar>
            <w:vAlign w:val="center"/>
          </w:tcPr>
          <w:p w14:paraId="1C3BB03E" w14:textId="5555E153" w:rsidR="00EA566E" w:rsidRPr="00ED2410" w:rsidRDefault="00EA566E" w:rsidP="003E5039">
            <w:pPr>
              <w:jc w:val="center"/>
              <w:rPr>
                <w:b/>
                <w:bCs/>
                <w:sz w:val="20"/>
                <w:szCs w:val="20"/>
                <w:lang w:eastAsia="et-EE"/>
              </w:rPr>
            </w:pPr>
            <w:r w:rsidRPr="00EA566E">
              <w:rPr>
                <w:sz w:val="20"/>
                <w:szCs w:val="20"/>
              </w:rPr>
              <w:t>Lüganuse</w:t>
            </w:r>
          </w:p>
        </w:tc>
        <w:tc>
          <w:tcPr>
            <w:tcW w:w="993" w:type="dxa"/>
            <w:noWrap/>
            <w:tcMar>
              <w:left w:w="28" w:type="dxa"/>
              <w:right w:w="28" w:type="dxa"/>
            </w:tcMar>
            <w:vAlign w:val="center"/>
          </w:tcPr>
          <w:p w14:paraId="38E4ED7A" w14:textId="09667E5E" w:rsidR="00EA566E" w:rsidRPr="00ED2410" w:rsidRDefault="00EA566E" w:rsidP="003E5039">
            <w:pPr>
              <w:jc w:val="center"/>
              <w:rPr>
                <w:b/>
                <w:bCs/>
                <w:sz w:val="20"/>
                <w:szCs w:val="20"/>
                <w:lang w:eastAsia="et-EE"/>
              </w:rPr>
            </w:pPr>
            <w:r w:rsidRPr="00EA566E">
              <w:rPr>
                <w:sz w:val="20"/>
                <w:szCs w:val="20"/>
              </w:rPr>
              <w:t>Aidu</w:t>
            </w:r>
          </w:p>
        </w:tc>
        <w:tc>
          <w:tcPr>
            <w:tcW w:w="1134" w:type="dxa"/>
            <w:noWrap/>
            <w:tcMar>
              <w:left w:w="28" w:type="dxa"/>
              <w:right w:w="28" w:type="dxa"/>
            </w:tcMar>
            <w:vAlign w:val="center"/>
          </w:tcPr>
          <w:p w14:paraId="41772894" w14:textId="62822F71" w:rsidR="00EA566E" w:rsidRPr="00ED2410" w:rsidRDefault="00EA566E" w:rsidP="003E5039">
            <w:pPr>
              <w:jc w:val="center"/>
              <w:rPr>
                <w:b/>
                <w:bCs/>
                <w:sz w:val="20"/>
                <w:szCs w:val="20"/>
                <w:lang w:eastAsia="et-EE"/>
              </w:rPr>
            </w:pPr>
            <w:r w:rsidRPr="00EA566E">
              <w:rPr>
                <w:sz w:val="20"/>
                <w:szCs w:val="20"/>
              </w:rPr>
              <w:t>Mälestuse</w:t>
            </w:r>
          </w:p>
        </w:tc>
        <w:tc>
          <w:tcPr>
            <w:tcW w:w="1417" w:type="dxa"/>
            <w:noWrap/>
            <w:tcMar>
              <w:left w:w="28" w:type="dxa"/>
              <w:right w:w="28" w:type="dxa"/>
            </w:tcMar>
            <w:vAlign w:val="center"/>
          </w:tcPr>
          <w:p w14:paraId="135C85A4" w14:textId="3762E110" w:rsidR="00EA566E" w:rsidRPr="00ED2410" w:rsidRDefault="00EA566E" w:rsidP="003E5039">
            <w:pPr>
              <w:jc w:val="center"/>
              <w:rPr>
                <w:b/>
                <w:bCs/>
                <w:sz w:val="20"/>
                <w:szCs w:val="20"/>
                <w:lang w:eastAsia="et-EE"/>
              </w:rPr>
            </w:pPr>
            <w:r w:rsidRPr="00EA566E">
              <w:rPr>
                <w:sz w:val="20"/>
                <w:szCs w:val="20"/>
              </w:rPr>
              <w:t>43801:001:0139</w:t>
            </w:r>
          </w:p>
        </w:tc>
        <w:tc>
          <w:tcPr>
            <w:tcW w:w="1559" w:type="dxa"/>
            <w:noWrap/>
            <w:tcMar>
              <w:left w:w="28" w:type="dxa"/>
              <w:right w:w="28" w:type="dxa"/>
            </w:tcMar>
            <w:vAlign w:val="center"/>
          </w:tcPr>
          <w:p w14:paraId="5F7FB02E" w14:textId="6B2E2A1E" w:rsidR="00EA566E" w:rsidRPr="00ED2410" w:rsidRDefault="00D10D33" w:rsidP="003E5039">
            <w:pPr>
              <w:jc w:val="center"/>
              <w:rPr>
                <w:b/>
                <w:bCs/>
                <w:sz w:val="20"/>
                <w:szCs w:val="20"/>
                <w:lang w:eastAsia="et-EE"/>
              </w:rPr>
            </w:pPr>
            <w:r>
              <w:rPr>
                <w:sz w:val="20"/>
                <w:szCs w:val="20"/>
                <w:lang w:eastAsia="et-EE"/>
              </w:rPr>
              <w:t>üldkasutatav maa</w:t>
            </w:r>
          </w:p>
        </w:tc>
        <w:tc>
          <w:tcPr>
            <w:tcW w:w="1696" w:type="dxa"/>
            <w:vAlign w:val="center"/>
          </w:tcPr>
          <w:p w14:paraId="4096B91D" w14:textId="29D717E7" w:rsidR="00EA566E" w:rsidRDefault="002B1DA9" w:rsidP="003E5039">
            <w:pPr>
              <w:jc w:val="center"/>
              <w:rPr>
                <w:b/>
                <w:bCs/>
                <w:sz w:val="20"/>
                <w:szCs w:val="20"/>
                <w:lang w:eastAsia="et-EE"/>
              </w:rPr>
            </w:pPr>
            <w:r>
              <w:rPr>
                <w:b/>
                <w:bCs/>
                <w:sz w:val="20"/>
                <w:szCs w:val="20"/>
                <w:lang w:eastAsia="et-EE"/>
              </w:rPr>
              <w:t>Lüganuse (ÜP 24)</w:t>
            </w:r>
          </w:p>
        </w:tc>
      </w:tr>
      <w:tr w:rsidR="00EA566E" w:rsidRPr="00AD1666" w14:paraId="6EAC37CC" w14:textId="77777777" w:rsidTr="003A463F">
        <w:trPr>
          <w:trHeight w:val="284"/>
          <w:jc w:val="center"/>
        </w:trPr>
        <w:tc>
          <w:tcPr>
            <w:tcW w:w="304" w:type="dxa"/>
            <w:tcMar>
              <w:left w:w="28" w:type="dxa"/>
              <w:right w:w="28" w:type="dxa"/>
            </w:tcMar>
            <w:vAlign w:val="center"/>
          </w:tcPr>
          <w:p w14:paraId="27D2117D" w14:textId="4F77C481" w:rsidR="00EA566E" w:rsidRPr="00ED2410" w:rsidRDefault="00EA566E" w:rsidP="003E5039">
            <w:pPr>
              <w:jc w:val="center"/>
              <w:rPr>
                <w:b/>
                <w:bCs/>
                <w:sz w:val="20"/>
                <w:szCs w:val="20"/>
                <w:lang w:eastAsia="et-EE"/>
              </w:rPr>
            </w:pPr>
            <w:r>
              <w:rPr>
                <w:b/>
                <w:bCs/>
                <w:sz w:val="20"/>
                <w:szCs w:val="20"/>
                <w:lang w:eastAsia="et-EE"/>
              </w:rPr>
              <w:t>2</w:t>
            </w:r>
          </w:p>
        </w:tc>
        <w:tc>
          <w:tcPr>
            <w:tcW w:w="967" w:type="dxa"/>
            <w:noWrap/>
            <w:tcMar>
              <w:left w:w="28" w:type="dxa"/>
              <w:right w:w="28" w:type="dxa"/>
            </w:tcMar>
            <w:vAlign w:val="center"/>
          </w:tcPr>
          <w:p w14:paraId="40F5ABC5" w14:textId="5AB20A70" w:rsidR="00EA566E" w:rsidRPr="00ED2410" w:rsidRDefault="00EA566E" w:rsidP="003E5039">
            <w:pPr>
              <w:jc w:val="center"/>
              <w:rPr>
                <w:b/>
                <w:bCs/>
                <w:sz w:val="20"/>
                <w:szCs w:val="20"/>
                <w:lang w:eastAsia="et-EE"/>
              </w:rPr>
            </w:pPr>
            <w:r w:rsidRPr="00EA566E">
              <w:rPr>
                <w:sz w:val="20"/>
                <w:szCs w:val="20"/>
              </w:rPr>
              <w:t>Ida-Viru</w:t>
            </w:r>
          </w:p>
        </w:tc>
        <w:tc>
          <w:tcPr>
            <w:tcW w:w="992" w:type="dxa"/>
            <w:noWrap/>
            <w:tcMar>
              <w:left w:w="28" w:type="dxa"/>
              <w:right w:w="28" w:type="dxa"/>
            </w:tcMar>
            <w:vAlign w:val="center"/>
          </w:tcPr>
          <w:p w14:paraId="2BCB89B9" w14:textId="7B4749FE" w:rsidR="00EA566E" w:rsidRPr="00ED2410" w:rsidRDefault="00EA566E" w:rsidP="003E5039">
            <w:pPr>
              <w:jc w:val="center"/>
              <w:rPr>
                <w:b/>
                <w:bCs/>
                <w:sz w:val="20"/>
                <w:szCs w:val="20"/>
                <w:lang w:eastAsia="et-EE"/>
              </w:rPr>
            </w:pPr>
            <w:r w:rsidRPr="00EA566E">
              <w:rPr>
                <w:sz w:val="20"/>
                <w:szCs w:val="20"/>
              </w:rPr>
              <w:t>Lüganuse</w:t>
            </w:r>
          </w:p>
        </w:tc>
        <w:tc>
          <w:tcPr>
            <w:tcW w:w="993" w:type="dxa"/>
            <w:noWrap/>
            <w:tcMar>
              <w:left w:w="28" w:type="dxa"/>
              <w:right w:w="28" w:type="dxa"/>
            </w:tcMar>
            <w:vAlign w:val="center"/>
          </w:tcPr>
          <w:p w14:paraId="3A6F39ED" w14:textId="78EE9745" w:rsidR="00EA566E" w:rsidRPr="00ED2410" w:rsidRDefault="00EA566E" w:rsidP="003E5039">
            <w:pPr>
              <w:jc w:val="center"/>
              <w:rPr>
                <w:b/>
                <w:bCs/>
                <w:sz w:val="20"/>
                <w:szCs w:val="20"/>
                <w:lang w:eastAsia="et-EE"/>
              </w:rPr>
            </w:pPr>
            <w:r w:rsidRPr="00EA566E">
              <w:rPr>
                <w:sz w:val="20"/>
                <w:szCs w:val="20"/>
              </w:rPr>
              <w:t>Purtse</w:t>
            </w:r>
          </w:p>
        </w:tc>
        <w:tc>
          <w:tcPr>
            <w:tcW w:w="1134" w:type="dxa"/>
            <w:noWrap/>
            <w:tcMar>
              <w:left w:w="28" w:type="dxa"/>
              <w:right w:w="28" w:type="dxa"/>
            </w:tcMar>
            <w:vAlign w:val="center"/>
          </w:tcPr>
          <w:p w14:paraId="580E0A05" w14:textId="07C9E3FF" w:rsidR="00EA566E" w:rsidRPr="00ED2410" w:rsidRDefault="00EA566E" w:rsidP="003E5039">
            <w:pPr>
              <w:jc w:val="center"/>
              <w:rPr>
                <w:b/>
                <w:bCs/>
                <w:sz w:val="20"/>
                <w:szCs w:val="20"/>
                <w:lang w:eastAsia="et-EE"/>
              </w:rPr>
            </w:pPr>
            <w:r w:rsidRPr="00EA566E">
              <w:rPr>
                <w:sz w:val="20"/>
                <w:szCs w:val="20"/>
              </w:rPr>
              <w:t>Piirivälja</w:t>
            </w:r>
          </w:p>
        </w:tc>
        <w:tc>
          <w:tcPr>
            <w:tcW w:w="1417" w:type="dxa"/>
            <w:noWrap/>
            <w:tcMar>
              <w:left w:w="28" w:type="dxa"/>
              <w:right w:w="28" w:type="dxa"/>
            </w:tcMar>
            <w:vAlign w:val="center"/>
          </w:tcPr>
          <w:p w14:paraId="2DA34240" w14:textId="673C6681" w:rsidR="00EA566E" w:rsidRPr="00ED2410" w:rsidRDefault="00EA566E" w:rsidP="003E5039">
            <w:pPr>
              <w:jc w:val="center"/>
              <w:rPr>
                <w:b/>
                <w:bCs/>
                <w:sz w:val="20"/>
                <w:szCs w:val="20"/>
                <w:lang w:eastAsia="et-EE"/>
              </w:rPr>
            </w:pPr>
            <w:r w:rsidRPr="00EA566E">
              <w:rPr>
                <w:sz w:val="20"/>
                <w:szCs w:val="20"/>
              </w:rPr>
              <w:t>43701:001:0289</w:t>
            </w:r>
          </w:p>
        </w:tc>
        <w:tc>
          <w:tcPr>
            <w:tcW w:w="1559" w:type="dxa"/>
            <w:noWrap/>
            <w:tcMar>
              <w:left w:w="28" w:type="dxa"/>
              <w:right w:w="28" w:type="dxa"/>
            </w:tcMar>
            <w:vAlign w:val="center"/>
          </w:tcPr>
          <w:p w14:paraId="6B316252" w14:textId="13355DE6" w:rsidR="00EA566E" w:rsidRPr="00ED2410" w:rsidRDefault="00EA566E" w:rsidP="003E5039">
            <w:pPr>
              <w:jc w:val="center"/>
              <w:rPr>
                <w:b/>
                <w:bCs/>
                <w:sz w:val="20"/>
                <w:szCs w:val="20"/>
                <w:lang w:eastAsia="et-EE"/>
              </w:rPr>
            </w:pPr>
            <w:r w:rsidRPr="00ED2410">
              <w:rPr>
                <w:sz w:val="20"/>
                <w:szCs w:val="20"/>
                <w:lang w:eastAsia="et-EE"/>
              </w:rPr>
              <w:t>maatulundusmaa</w:t>
            </w:r>
          </w:p>
        </w:tc>
        <w:tc>
          <w:tcPr>
            <w:tcW w:w="1696" w:type="dxa"/>
            <w:vAlign w:val="center"/>
          </w:tcPr>
          <w:p w14:paraId="6095D228" w14:textId="38259D11" w:rsidR="00EA566E" w:rsidRDefault="002B1DA9" w:rsidP="003E5039">
            <w:pPr>
              <w:jc w:val="center"/>
              <w:rPr>
                <w:b/>
                <w:bCs/>
                <w:sz w:val="20"/>
                <w:szCs w:val="20"/>
                <w:lang w:eastAsia="et-EE"/>
              </w:rPr>
            </w:pPr>
            <w:r>
              <w:rPr>
                <w:b/>
                <w:bCs/>
                <w:sz w:val="20"/>
                <w:szCs w:val="20"/>
                <w:lang w:eastAsia="et-EE"/>
              </w:rPr>
              <w:t>Lüganuse (ala 2a)</w:t>
            </w:r>
          </w:p>
        </w:tc>
      </w:tr>
      <w:tr w:rsidR="00EA566E" w:rsidRPr="00AD1666" w14:paraId="39883F22" w14:textId="77777777" w:rsidTr="003A463F">
        <w:trPr>
          <w:trHeight w:val="284"/>
          <w:jc w:val="center"/>
        </w:trPr>
        <w:tc>
          <w:tcPr>
            <w:tcW w:w="304" w:type="dxa"/>
            <w:tcMar>
              <w:left w:w="28" w:type="dxa"/>
              <w:right w:w="28" w:type="dxa"/>
            </w:tcMar>
            <w:vAlign w:val="center"/>
          </w:tcPr>
          <w:p w14:paraId="28F80679" w14:textId="7925B678" w:rsidR="00EA566E" w:rsidRPr="00ED2410" w:rsidRDefault="00AF55D0" w:rsidP="003E5039">
            <w:pPr>
              <w:jc w:val="center"/>
              <w:rPr>
                <w:b/>
                <w:bCs/>
                <w:sz w:val="20"/>
                <w:szCs w:val="20"/>
                <w:lang w:eastAsia="et-EE"/>
              </w:rPr>
            </w:pPr>
            <w:r>
              <w:rPr>
                <w:b/>
                <w:bCs/>
                <w:sz w:val="20"/>
                <w:szCs w:val="20"/>
                <w:lang w:eastAsia="et-EE"/>
              </w:rPr>
              <w:t>3</w:t>
            </w:r>
          </w:p>
        </w:tc>
        <w:tc>
          <w:tcPr>
            <w:tcW w:w="967" w:type="dxa"/>
            <w:noWrap/>
            <w:tcMar>
              <w:left w:w="28" w:type="dxa"/>
              <w:right w:w="28" w:type="dxa"/>
            </w:tcMar>
            <w:vAlign w:val="center"/>
          </w:tcPr>
          <w:p w14:paraId="4E1D1078" w14:textId="742E37F6" w:rsidR="00EA566E" w:rsidRPr="00ED2410" w:rsidRDefault="00EA566E" w:rsidP="003E5039">
            <w:pPr>
              <w:jc w:val="center"/>
              <w:rPr>
                <w:b/>
                <w:bCs/>
                <w:sz w:val="20"/>
                <w:szCs w:val="20"/>
                <w:lang w:eastAsia="et-EE"/>
              </w:rPr>
            </w:pPr>
            <w:r w:rsidRPr="00EA566E">
              <w:rPr>
                <w:sz w:val="20"/>
                <w:szCs w:val="20"/>
              </w:rPr>
              <w:t>Pärnu</w:t>
            </w:r>
          </w:p>
        </w:tc>
        <w:tc>
          <w:tcPr>
            <w:tcW w:w="992" w:type="dxa"/>
            <w:noWrap/>
            <w:tcMar>
              <w:left w:w="28" w:type="dxa"/>
              <w:right w:w="28" w:type="dxa"/>
            </w:tcMar>
            <w:vAlign w:val="center"/>
          </w:tcPr>
          <w:p w14:paraId="4C0DB47E" w14:textId="2C25C8FC" w:rsidR="00EA566E" w:rsidRPr="00ED2410" w:rsidRDefault="00EA566E" w:rsidP="003E5039">
            <w:pPr>
              <w:jc w:val="center"/>
              <w:rPr>
                <w:b/>
                <w:bCs/>
                <w:sz w:val="20"/>
                <w:szCs w:val="20"/>
                <w:lang w:eastAsia="et-EE"/>
              </w:rPr>
            </w:pPr>
            <w:r w:rsidRPr="00EA566E">
              <w:rPr>
                <w:sz w:val="20"/>
                <w:szCs w:val="20"/>
              </w:rPr>
              <w:t>Lääneranna</w:t>
            </w:r>
          </w:p>
        </w:tc>
        <w:tc>
          <w:tcPr>
            <w:tcW w:w="993" w:type="dxa"/>
            <w:noWrap/>
            <w:tcMar>
              <w:left w:w="28" w:type="dxa"/>
              <w:right w:w="28" w:type="dxa"/>
            </w:tcMar>
            <w:vAlign w:val="center"/>
          </w:tcPr>
          <w:p w14:paraId="44D22B00" w14:textId="409C45B0" w:rsidR="00EA566E" w:rsidRPr="00ED2410" w:rsidRDefault="00EA566E" w:rsidP="003E5039">
            <w:pPr>
              <w:jc w:val="center"/>
              <w:rPr>
                <w:b/>
                <w:bCs/>
                <w:sz w:val="20"/>
                <w:szCs w:val="20"/>
                <w:lang w:eastAsia="et-EE"/>
              </w:rPr>
            </w:pPr>
            <w:proofErr w:type="spellStart"/>
            <w:r w:rsidRPr="00EA566E">
              <w:rPr>
                <w:sz w:val="20"/>
                <w:szCs w:val="20"/>
              </w:rPr>
              <w:t>Kiska</w:t>
            </w:r>
            <w:proofErr w:type="spellEnd"/>
          </w:p>
        </w:tc>
        <w:tc>
          <w:tcPr>
            <w:tcW w:w="1134" w:type="dxa"/>
            <w:noWrap/>
            <w:tcMar>
              <w:left w:w="28" w:type="dxa"/>
              <w:right w:w="28" w:type="dxa"/>
            </w:tcMar>
            <w:vAlign w:val="center"/>
          </w:tcPr>
          <w:p w14:paraId="4DC8880D" w14:textId="0A638423" w:rsidR="00EA566E" w:rsidRPr="00ED2410" w:rsidRDefault="00EA566E" w:rsidP="003E5039">
            <w:pPr>
              <w:jc w:val="center"/>
              <w:rPr>
                <w:b/>
                <w:bCs/>
                <w:sz w:val="20"/>
                <w:szCs w:val="20"/>
                <w:lang w:eastAsia="et-EE"/>
              </w:rPr>
            </w:pPr>
            <w:r w:rsidRPr="00EA566E">
              <w:rPr>
                <w:sz w:val="20"/>
                <w:szCs w:val="20"/>
              </w:rPr>
              <w:t>Ristikheina</w:t>
            </w:r>
          </w:p>
        </w:tc>
        <w:tc>
          <w:tcPr>
            <w:tcW w:w="1417" w:type="dxa"/>
            <w:noWrap/>
            <w:tcMar>
              <w:left w:w="28" w:type="dxa"/>
              <w:right w:w="28" w:type="dxa"/>
            </w:tcMar>
            <w:vAlign w:val="center"/>
          </w:tcPr>
          <w:p w14:paraId="21182787" w14:textId="26D0E631" w:rsidR="00EA566E" w:rsidRPr="00ED2410" w:rsidRDefault="00EA566E" w:rsidP="003E5039">
            <w:pPr>
              <w:jc w:val="center"/>
              <w:rPr>
                <w:b/>
                <w:bCs/>
                <w:sz w:val="20"/>
                <w:szCs w:val="20"/>
                <w:lang w:eastAsia="et-EE"/>
              </w:rPr>
            </w:pPr>
            <w:r w:rsidRPr="00EA566E">
              <w:rPr>
                <w:sz w:val="20"/>
                <w:szCs w:val="20"/>
              </w:rPr>
              <w:t>19501:001:0477</w:t>
            </w:r>
          </w:p>
        </w:tc>
        <w:tc>
          <w:tcPr>
            <w:tcW w:w="1559" w:type="dxa"/>
            <w:noWrap/>
            <w:tcMar>
              <w:left w:w="28" w:type="dxa"/>
              <w:right w:w="28" w:type="dxa"/>
            </w:tcMar>
            <w:vAlign w:val="center"/>
          </w:tcPr>
          <w:p w14:paraId="36B1207D" w14:textId="371BB779" w:rsidR="00EA566E" w:rsidRPr="00ED2410" w:rsidRDefault="00EA566E" w:rsidP="003E5039">
            <w:pPr>
              <w:jc w:val="center"/>
              <w:rPr>
                <w:b/>
                <w:bCs/>
                <w:sz w:val="20"/>
                <w:szCs w:val="20"/>
                <w:lang w:eastAsia="et-EE"/>
              </w:rPr>
            </w:pPr>
            <w:r w:rsidRPr="00ED2410">
              <w:rPr>
                <w:sz w:val="20"/>
                <w:szCs w:val="20"/>
                <w:lang w:eastAsia="et-EE"/>
              </w:rPr>
              <w:t>maatulundusmaa</w:t>
            </w:r>
          </w:p>
        </w:tc>
        <w:tc>
          <w:tcPr>
            <w:tcW w:w="1696" w:type="dxa"/>
            <w:vAlign w:val="center"/>
          </w:tcPr>
          <w:p w14:paraId="443828F6" w14:textId="270433F1" w:rsidR="00EA566E" w:rsidRDefault="002B1DA9" w:rsidP="003E5039">
            <w:pPr>
              <w:jc w:val="center"/>
              <w:rPr>
                <w:b/>
                <w:bCs/>
                <w:sz w:val="20"/>
                <w:szCs w:val="20"/>
                <w:lang w:eastAsia="et-EE"/>
              </w:rPr>
            </w:pPr>
            <w:r>
              <w:rPr>
                <w:b/>
                <w:bCs/>
                <w:sz w:val="20"/>
                <w:szCs w:val="20"/>
                <w:lang w:eastAsia="et-EE"/>
              </w:rPr>
              <w:t>Lääneranna 3</w:t>
            </w:r>
          </w:p>
        </w:tc>
      </w:tr>
      <w:tr w:rsidR="00EA566E" w:rsidRPr="00AD1666" w14:paraId="285E2BEF" w14:textId="77777777" w:rsidTr="003A463F">
        <w:trPr>
          <w:trHeight w:val="284"/>
          <w:jc w:val="center"/>
        </w:trPr>
        <w:tc>
          <w:tcPr>
            <w:tcW w:w="304" w:type="dxa"/>
            <w:tcMar>
              <w:left w:w="28" w:type="dxa"/>
              <w:right w:w="28" w:type="dxa"/>
            </w:tcMar>
            <w:vAlign w:val="center"/>
          </w:tcPr>
          <w:p w14:paraId="79A3F635" w14:textId="4FFBA998" w:rsidR="00EA566E" w:rsidRPr="00ED2410" w:rsidRDefault="00AF55D0" w:rsidP="003E5039">
            <w:pPr>
              <w:jc w:val="center"/>
              <w:rPr>
                <w:b/>
                <w:bCs/>
                <w:sz w:val="20"/>
                <w:szCs w:val="20"/>
                <w:lang w:eastAsia="et-EE"/>
              </w:rPr>
            </w:pPr>
            <w:r>
              <w:rPr>
                <w:b/>
                <w:bCs/>
                <w:sz w:val="20"/>
                <w:szCs w:val="20"/>
                <w:lang w:eastAsia="et-EE"/>
              </w:rPr>
              <w:t>4</w:t>
            </w:r>
          </w:p>
        </w:tc>
        <w:tc>
          <w:tcPr>
            <w:tcW w:w="967" w:type="dxa"/>
            <w:noWrap/>
            <w:tcMar>
              <w:left w:w="28" w:type="dxa"/>
              <w:right w:w="28" w:type="dxa"/>
            </w:tcMar>
            <w:vAlign w:val="center"/>
          </w:tcPr>
          <w:p w14:paraId="22295A66" w14:textId="462A381F" w:rsidR="00EA566E" w:rsidRPr="00ED2410" w:rsidRDefault="00EA566E" w:rsidP="003E5039">
            <w:pPr>
              <w:jc w:val="center"/>
              <w:rPr>
                <w:b/>
                <w:bCs/>
                <w:sz w:val="20"/>
                <w:szCs w:val="20"/>
                <w:lang w:eastAsia="et-EE"/>
              </w:rPr>
            </w:pPr>
            <w:r w:rsidRPr="00EA566E">
              <w:rPr>
                <w:sz w:val="20"/>
                <w:szCs w:val="20"/>
              </w:rPr>
              <w:t>Viljandi</w:t>
            </w:r>
          </w:p>
        </w:tc>
        <w:tc>
          <w:tcPr>
            <w:tcW w:w="992" w:type="dxa"/>
            <w:noWrap/>
            <w:tcMar>
              <w:left w:w="28" w:type="dxa"/>
              <w:right w:w="28" w:type="dxa"/>
            </w:tcMar>
            <w:vAlign w:val="center"/>
          </w:tcPr>
          <w:p w14:paraId="277DBA5F" w14:textId="5CB7C62A" w:rsidR="00EA566E" w:rsidRPr="00ED2410" w:rsidRDefault="00EA566E" w:rsidP="003E5039">
            <w:pPr>
              <w:jc w:val="center"/>
              <w:rPr>
                <w:b/>
                <w:bCs/>
                <w:sz w:val="20"/>
                <w:szCs w:val="20"/>
                <w:lang w:eastAsia="et-EE"/>
              </w:rPr>
            </w:pPr>
            <w:r w:rsidRPr="00EA566E">
              <w:rPr>
                <w:sz w:val="20"/>
                <w:szCs w:val="20"/>
              </w:rPr>
              <w:t>Viljandi</w:t>
            </w:r>
          </w:p>
        </w:tc>
        <w:tc>
          <w:tcPr>
            <w:tcW w:w="993" w:type="dxa"/>
            <w:noWrap/>
            <w:tcMar>
              <w:left w:w="28" w:type="dxa"/>
              <w:right w:w="28" w:type="dxa"/>
            </w:tcMar>
            <w:vAlign w:val="center"/>
          </w:tcPr>
          <w:p w14:paraId="1D6394A6" w14:textId="113A2F59" w:rsidR="00EA566E" w:rsidRPr="00ED2410" w:rsidRDefault="00EA566E" w:rsidP="003E5039">
            <w:pPr>
              <w:jc w:val="center"/>
              <w:rPr>
                <w:b/>
                <w:bCs/>
                <w:sz w:val="20"/>
                <w:szCs w:val="20"/>
                <w:lang w:eastAsia="et-EE"/>
              </w:rPr>
            </w:pPr>
            <w:r w:rsidRPr="00EA566E">
              <w:rPr>
                <w:sz w:val="20"/>
                <w:szCs w:val="20"/>
              </w:rPr>
              <w:t>Ämmuste</w:t>
            </w:r>
          </w:p>
        </w:tc>
        <w:tc>
          <w:tcPr>
            <w:tcW w:w="1134" w:type="dxa"/>
            <w:noWrap/>
            <w:tcMar>
              <w:left w:w="28" w:type="dxa"/>
              <w:right w:w="28" w:type="dxa"/>
            </w:tcMar>
            <w:vAlign w:val="center"/>
          </w:tcPr>
          <w:p w14:paraId="104A5862" w14:textId="502E08E2" w:rsidR="00EA566E" w:rsidRPr="00ED2410" w:rsidRDefault="00EA566E" w:rsidP="003E5039">
            <w:pPr>
              <w:jc w:val="center"/>
              <w:rPr>
                <w:b/>
                <w:bCs/>
                <w:sz w:val="20"/>
                <w:szCs w:val="20"/>
                <w:lang w:eastAsia="et-EE"/>
              </w:rPr>
            </w:pPr>
            <w:r w:rsidRPr="00EA566E">
              <w:rPr>
                <w:sz w:val="20"/>
                <w:szCs w:val="20"/>
              </w:rPr>
              <w:t>Kulli</w:t>
            </w:r>
          </w:p>
        </w:tc>
        <w:tc>
          <w:tcPr>
            <w:tcW w:w="1417" w:type="dxa"/>
            <w:noWrap/>
            <w:tcMar>
              <w:left w:w="28" w:type="dxa"/>
              <w:right w:w="28" w:type="dxa"/>
            </w:tcMar>
            <w:vAlign w:val="center"/>
          </w:tcPr>
          <w:p w14:paraId="0F2D644C" w14:textId="11179A79" w:rsidR="00EA566E" w:rsidRPr="00ED2410" w:rsidRDefault="00EA566E" w:rsidP="003E5039">
            <w:pPr>
              <w:jc w:val="center"/>
              <w:rPr>
                <w:b/>
                <w:bCs/>
                <w:sz w:val="20"/>
                <w:szCs w:val="20"/>
                <w:lang w:eastAsia="et-EE"/>
              </w:rPr>
            </w:pPr>
            <w:r w:rsidRPr="00EA566E">
              <w:rPr>
                <w:sz w:val="20"/>
                <w:szCs w:val="20"/>
              </w:rPr>
              <w:t>79701:001:0529</w:t>
            </w:r>
          </w:p>
        </w:tc>
        <w:tc>
          <w:tcPr>
            <w:tcW w:w="1559" w:type="dxa"/>
            <w:noWrap/>
            <w:tcMar>
              <w:left w:w="28" w:type="dxa"/>
              <w:right w:w="28" w:type="dxa"/>
            </w:tcMar>
            <w:vAlign w:val="center"/>
          </w:tcPr>
          <w:p w14:paraId="5B6D7007" w14:textId="518DDBAA" w:rsidR="00EA566E" w:rsidRPr="00ED2410" w:rsidRDefault="00EA566E" w:rsidP="003E5039">
            <w:pPr>
              <w:jc w:val="center"/>
              <w:rPr>
                <w:b/>
                <w:bCs/>
                <w:sz w:val="20"/>
                <w:szCs w:val="20"/>
                <w:lang w:eastAsia="et-EE"/>
              </w:rPr>
            </w:pPr>
            <w:r w:rsidRPr="00ED2410">
              <w:rPr>
                <w:sz w:val="20"/>
                <w:szCs w:val="20"/>
                <w:lang w:eastAsia="et-EE"/>
              </w:rPr>
              <w:t>maatulundusmaa</w:t>
            </w:r>
          </w:p>
        </w:tc>
        <w:tc>
          <w:tcPr>
            <w:tcW w:w="1696" w:type="dxa"/>
            <w:vAlign w:val="center"/>
          </w:tcPr>
          <w:p w14:paraId="106FB422" w14:textId="0FF4A706" w:rsidR="00EA566E" w:rsidRDefault="002B1DA9" w:rsidP="003E5039">
            <w:pPr>
              <w:jc w:val="center"/>
              <w:rPr>
                <w:b/>
                <w:bCs/>
                <w:sz w:val="20"/>
                <w:szCs w:val="20"/>
                <w:lang w:eastAsia="et-EE"/>
              </w:rPr>
            </w:pPr>
            <w:r>
              <w:rPr>
                <w:b/>
                <w:bCs/>
                <w:sz w:val="20"/>
                <w:szCs w:val="20"/>
                <w:lang w:eastAsia="et-EE"/>
              </w:rPr>
              <w:t>Viljandi (ala 3)</w:t>
            </w:r>
          </w:p>
        </w:tc>
      </w:tr>
    </w:tbl>
    <w:p w14:paraId="4EBC9600" w14:textId="77777777" w:rsidR="00DD04D6" w:rsidRPr="00AD1666" w:rsidRDefault="00DD04D6" w:rsidP="003E5039"/>
    <w:p w14:paraId="3EEB3E7D" w14:textId="2ABD9F79" w:rsidR="009E02F4" w:rsidRPr="003E5039" w:rsidRDefault="009E02F4" w:rsidP="003E5039">
      <w:pPr>
        <w:pStyle w:val="Pealkiri1"/>
        <w:numPr>
          <w:ilvl w:val="0"/>
          <w:numId w:val="17"/>
        </w:numPr>
        <w:spacing w:after="240"/>
        <w:ind w:left="284" w:hanging="284"/>
        <w:rPr>
          <w:rFonts w:cs="Times New Roman"/>
          <w:szCs w:val="24"/>
        </w:rPr>
      </w:pPr>
      <w:r w:rsidRPr="00AD1666">
        <w:rPr>
          <w:rFonts w:cs="Times New Roman"/>
          <w:szCs w:val="24"/>
        </w:rPr>
        <w:t>Eelnõus nimetatud asjaolude põhjendused</w:t>
      </w:r>
    </w:p>
    <w:p w14:paraId="20257CDF" w14:textId="7CE675E6" w:rsidR="007D2D24" w:rsidRPr="003E5039" w:rsidRDefault="0067388E" w:rsidP="003E5039">
      <w:pPr>
        <w:spacing w:before="240" w:after="240"/>
      </w:pPr>
      <w:r w:rsidRPr="00AD1666">
        <w:t xml:space="preserve">Riigivaraseaduse (edaspidi </w:t>
      </w:r>
      <w:r w:rsidRPr="004720D2">
        <w:rPr>
          <w:i/>
          <w:iCs/>
        </w:rPr>
        <w:t>RVS</w:t>
      </w:r>
      <w:r w:rsidRPr="00AD1666">
        <w:t>) § 15 lõike 1 punktide 1 ja 4 kohaselt antakse riigivara kasutamiseks teisele isikule, kui vara ei ole ajutiselt vaja kasutada riigivõimu teostamiseks või muul avalikul eesmärgil ja kui riigivara valitsemise eesmärk on reservina säilitamine.</w:t>
      </w:r>
    </w:p>
    <w:p w14:paraId="1AE2B0F2" w14:textId="1AF91C51" w:rsidR="00BB6CD4" w:rsidRPr="00AD1666" w:rsidRDefault="007D2D24" w:rsidP="003E5039">
      <w:pPr>
        <w:spacing w:before="240" w:after="240"/>
        <w:rPr>
          <w:bCs/>
        </w:rPr>
      </w:pPr>
      <w:r w:rsidRPr="00AD1666">
        <w:rPr>
          <w:bCs/>
        </w:rPr>
        <w:t>Vabariigi Valitsus</w:t>
      </w:r>
      <w:r w:rsidR="00D53525" w:rsidRPr="00AD1666">
        <w:rPr>
          <w:bCs/>
        </w:rPr>
        <w:t xml:space="preserve">e </w:t>
      </w:r>
      <w:r w:rsidRPr="00AD1666">
        <w:rPr>
          <w:bCs/>
        </w:rPr>
        <w:t>26.01.2017 kabinetinõupidamisel heaks kii</w:t>
      </w:r>
      <w:r w:rsidR="00D53525" w:rsidRPr="00AD1666">
        <w:rPr>
          <w:bCs/>
        </w:rPr>
        <w:t xml:space="preserve">detud </w:t>
      </w:r>
      <w:r w:rsidRPr="00AD1666">
        <w:rPr>
          <w:bCs/>
        </w:rPr>
        <w:t xml:space="preserve">riigi maareservi säilitamise ja tsiviilkäibesse suunamise põhimõtete kohaselt säilitatakse riigi maareservina </w:t>
      </w:r>
      <w:r w:rsidR="00D40A1E" w:rsidRPr="00AD1666">
        <w:rPr>
          <w:bCs/>
        </w:rPr>
        <w:t>alternatiivenergia tootmiseks sobilikud maa-alad</w:t>
      </w:r>
      <w:r w:rsidR="00166BD7" w:rsidRPr="00AD1666">
        <w:rPr>
          <w:bCs/>
        </w:rPr>
        <w:t xml:space="preserve"> ja antakse vajadusel v</w:t>
      </w:r>
      <w:r w:rsidR="00D40A1E" w:rsidRPr="00AD1666">
        <w:rPr>
          <w:bCs/>
        </w:rPr>
        <w:t>astaval eesmärgil kasutamiseks</w:t>
      </w:r>
      <w:r w:rsidR="00166BD7" w:rsidRPr="00AD1666">
        <w:rPr>
          <w:bCs/>
        </w:rPr>
        <w:t xml:space="preserve">. </w:t>
      </w:r>
    </w:p>
    <w:p w14:paraId="068EE172" w14:textId="3A220477" w:rsidR="003661A3" w:rsidRPr="003E5039" w:rsidRDefault="00CE3F16" w:rsidP="003E5039">
      <w:pPr>
        <w:spacing w:before="240" w:after="240"/>
        <w:rPr>
          <w:bCs/>
        </w:rPr>
      </w:pPr>
      <w:r w:rsidRPr="00AD1666">
        <w:rPr>
          <w:bCs/>
        </w:rPr>
        <w:t>R</w:t>
      </w:r>
      <w:r w:rsidR="00307D16" w:rsidRPr="00AD1666">
        <w:rPr>
          <w:bCs/>
        </w:rPr>
        <w:t xml:space="preserve">iigimaaga tehingute tegemisel </w:t>
      </w:r>
      <w:r w:rsidRPr="00AD1666">
        <w:rPr>
          <w:bCs/>
        </w:rPr>
        <w:t xml:space="preserve">peab olema tagatud </w:t>
      </w:r>
      <w:r w:rsidR="00307D16" w:rsidRPr="00AD1666">
        <w:rPr>
          <w:bCs/>
        </w:rPr>
        <w:t>vaba konkurents ning võimalda</w:t>
      </w:r>
      <w:r w:rsidRPr="00AD1666">
        <w:rPr>
          <w:bCs/>
        </w:rPr>
        <w:t>tud</w:t>
      </w:r>
      <w:r w:rsidR="00307D16" w:rsidRPr="00AD1666">
        <w:rPr>
          <w:bCs/>
        </w:rPr>
        <w:t xml:space="preserve"> riigivara osta või kasutusse saada võrdselt kõigil isikutel, kes sellest on huvitatud. Tehingute läbipaistvuse ja ausa konkurentsi tagamise eesmärgil antakse </w:t>
      </w:r>
      <w:r w:rsidR="003A10A4" w:rsidRPr="00AD1666">
        <w:rPr>
          <w:bCs/>
        </w:rPr>
        <w:t xml:space="preserve">riigimaad </w:t>
      </w:r>
      <w:bookmarkStart w:id="0" w:name="_Hlk180264752"/>
      <w:r w:rsidR="009B19C0" w:rsidRPr="00AD1666">
        <w:rPr>
          <w:bCs/>
        </w:rPr>
        <w:t>t</w:t>
      </w:r>
      <w:r w:rsidR="003A10A4">
        <w:rPr>
          <w:bCs/>
        </w:rPr>
        <w:t>aastuv</w:t>
      </w:r>
      <w:r w:rsidR="009B19C0" w:rsidRPr="00AD1666">
        <w:rPr>
          <w:bCs/>
        </w:rPr>
        <w:t>energ</w:t>
      </w:r>
      <w:r w:rsidR="003A10A4">
        <w:rPr>
          <w:bCs/>
        </w:rPr>
        <w:t xml:space="preserve">ia ehitiste ehitamise eesmärgil </w:t>
      </w:r>
      <w:bookmarkEnd w:id="0"/>
      <w:r w:rsidR="00307D16" w:rsidRPr="00AD1666">
        <w:rPr>
          <w:bCs/>
        </w:rPr>
        <w:t>kasut</w:t>
      </w:r>
      <w:r w:rsidR="003A10A4">
        <w:rPr>
          <w:bCs/>
        </w:rPr>
        <w:t xml:space="preserve">amiseks </w:t>
      </w:r>
      <w:r w:rsidR="00307D16" w:rsidRPr="00AD1666">
        <w:rPr>
          <w:bCs/>
        </w:rPr>
        <w:t>avaliku enampakkumise teel.</w:t>
      </w:r>
    </w:p>
    <w:p w14:paraId="5B416626" w14:textId="2C5F278D" w:rsidR="00EA18C0" w:rsidRDefault="001721FA" w:rsidP="003E5039">
      <w:pPr>
        <w:spacing w:before="240" w:after="240"/>
      </w:pPr>
      <w:r w:rsidRPr="00AD1666">
        <w:t>Enampakkumise võitjaga sõlmitakse esmalt arendusperioodiks kokkulepe, mille alusel võitja teeb riigimaale taastuvenergia ehitiste rajamiseks vajalikud ettevalmistavad toimingud. Arendusperioodil toimub ala planeerimine, ehitiste projekteerimine, ehitiste jaoks vajalike tootmismaa kruntide moodustamine ja ehituslubade taotlemine. Arendusperiood kestab kuni taastuvenergia ehitiste rajamiseks vajalik</w:t>
      </w:r>
      <w:r w:rsidR="00981BAA">
        <w:t>u</w:t>
      </w:r>
      <w:r w:rsidRPr="00AD1666">
        <w:t xml:space="preserve"> ehitusl</w:t>
      </w:r>
      <w:r w:rsidR="00981BAA">
        <w:t>oa</w:t>
      </w:r>
      <w:r w:rsidRPr="00AD1666">
        <w:t xml:space="preserve"> saamiseni</w:t>
      </w:r>
      <w:r w:rsidR="00981BAA">
        <w:t>.</w:t>
      </w:r>
      <w:r w:rsidRPr="00AD1666">
        <w:t xml:space="preserve"> Ehitusloa saamise järgselt sõlmitakse enampakkumise võitjaga </w:t>
      </w:r>
      <w:r w:rsidR="007B56CA" w:rsidRPr="00AD1666">
        <w:t xml:space="preserve">taastuvenergia ehitiste alusele ja selle teenindamiseks vajalikule tootmismaale </w:t>
      </w:r>
      <w:r w:rsidRPr="00AD1666">
        <w:t>leping</w:t>
      </w:r>
      <w:r w:rsidR="007B56CA" w:rsidRPr="00AD1666">
        <w:t xml:space="preserve"> riigimaale </w:t>
      </w:r>
      <w:r w:rsidRPr="00AD1666">
        <w:t>hoonestusõiguse seadmise</w:t>
      </w:r>
      <w:r w:rsidR="007B56CA" w:rsidRPr="00AD1666">
        <w:t xml:space="preserve">ks. </w:t>
      </w:r>
      <w:r w:rsidRPr="00AD1666">
        <w:t>Hoonestusõiguse alusel rajatakse</w:t>
      </w:r>
      <w:r w:rsidR="007B56CA" w:rsidRPr="00AD1666">
        <w:t xml:space="preserve"> ehitusperioodil </w:t>
      </w:r>
      <w:r w:rsidRPr="00AD1666">
        <w:t xml:space="preserve"> taastuvenergia ehitised ja toimub </w:t>
      </w:r>
      <w:r w:rsidR="007B56CA" w:rsidRPr="00AD1666">
        <w:t xml:space="preserve">opereerimisperioodil </w:t>
      </w:r>
      <w:r w:rsidRPr="00AD1666">
        <w:t>taastuvenergia tootmine kuni ehitiste likvideerimise ja utiliseerimiseni</w:t>
      </w:r>
      <w:r w:rsidR="007B56CA" w:rsidRPr="00AD1666">
        <w:t xml:space="preserve">. </w:t>
      </w:r>
    </w:p>
    <w:p w14:paraId="2564DBDD" w14:textId="16E53F68" w:rsidR="005B0DFE" w:rsidRPr="008F2A5F" w:rsidRDefault="005B0DFE" w:rsidP="003E5039">
      <w:pPr>
        <w:spacing w:before="240" w:after="240"/>
        <w:rPr>
          <w:b/>
          <w:bCs/>
        </w:rPr>
      </w:pPr>
      <w:r w:rsidRPr="008F2A5F">
        <w:rPr>
          <w:b/>
          <w:bCs/>
        </w:rPr>
        <w:t xml:space="preserve">3. Hoonestusõiguse tasu </w:t>
      </w:r>
    </w:p>
    <w:p w14:paraId="43BB01E8" w14:textId="226CC55A" w:rsidR="00554489" w:rsidRDefault="001721FA" w:rsidP="00827F98">
      <w:pPr>
        <w:spacing w:before="240" w:after="240"/>
        <w:rPr>
          <w:lang w:eastAsia="et-EE"/>
        </w:rPr>
      </w:pPr>
      <w:bookmarkStart w:id="1" w:name="_Hlk180265084"/>
      <w:r w:rsidRPr="00C21DCA">
        <w:t xml:space="preserve">Vastavalt RVS </w:t>
      </w:r>
      <w:r w:rsidRPr="00C21DCA">
        <w:rPr>
          <w:lang w:eastAsia="et-EE"/>
        </w:rPr>
        <w:t xml:space="preserve">§ 18 lõikele 1 antakse riigivara teisele isikule kasutamiseks vähemalt turupõhise kasutustasu eest. </w:t>
      </w:r>
      <w:r w:rsidR="00F034C1" w:rsidRPr="00C21DCA">
        <w:rPr>
          <w:lang w:eastAsia="et-EE"/>
        </w:rPr>
        <w:t>RVS</w:t>
      </w:r>
      <w:r w:rsidR="00F034C1" w:rsidRPr="00AD1666">
        <w:rPr>
          <w:lang w:eastAsia="et-EE"/>
        </w:rPr>
        <w:t xml:space="preserve"> § 60 lõike 1 kohaselt</w:t>
      </w:r>
      <w:r w:rsidR="00890A67" w:rsidRPr="00AD1666">
        <w:rPr>
          <w:lang w:eastAsia="et-EE"/>
        </w:rPr>
        <w:t xml:space="preserve"> </w:t>
      </w:r>
      <w:r w:rsidR="00F034C1" w:rsidRPr="00AD1666">
        <w:rPr>
          <w:lang w:eastAsia="et-EE"/>
        </w:rPr>
        <w:t xml:space="preserve">määrab riigivara avalikul enampakkumisel </w:t>
      </w:r>
      <w:r w:rsidR="00AA609E" w:rsidRPr="00AD1666">
        <w:rPr>
          <w:lang w:eastAsia="et-EE"/>
        </w:rPr>
        <w:t>kasuta</w:t>
      </w:r>
      <w:r w:rsidR="00A84394">
        <w:rPr>
          <w:lang w:eastAsia="et-EE"/>
        </w:rPr>
        <w:t>da</w:t>
      </w:r>
      <w:r w:rsidR="00AA609E" w:rsidRPr="00AD1666">
        <w:rPr>
          <w:lang w:eastAsia="et-EE"/>
        </w:rPr>
        <w:t xml:space="preserve"> andmisel </w:t>
      </w:r>
      <w:r w:rsidR="00F034C1" w:rsidRPr="00AD1666">
        <w:rPr>
          <w:lang w:eastAsia="et-EE"/>
        </w:rPr>
        <w:t xml:space="preserve">otsustaja alghinna. Alghinna määramisel juhindutakse </w:t>
      </w:r>
      <w:r w:rsidR="00A84394">
        <w:rPr>
          <w:lang w:eastAsia="et-EE"/>
        </w:rPr>
        <w:t>RVS</w:t>
      </w:r>
      <w:r w:rsidR="00F034C1" w:rsidRPr="00AD1666">
        <w:rPr>
          <w:lang w:eastAsia="et-EE"/>
        </w:rPr>
        <w:t xml:space="preserve"> §-s 18</w:t>
      </w:r>
      <w:r w:rsidR="00F034C1" w:rsidRPr="00AD1666">
        <w:rPr>
          <w:vertAlign w:val="superscript"/>
          <w:lang w:eastAsia="et-EE"/>
        </w:rPr>
        <w:t>1</w:t>
      </w:r>
      <w:r w:rsidR="00F034C1" w:rsidRPr="00AD1666">
        <w:rPr>
          <w:lang w:eastAsia="et-EE"/>
        </w:rPr>
        <w:t xml:space="preserve"> sätestatust. </w:t>
      </w:r>
      <w:r w:rsidR="007F78DF" w:rsidRPr="00AD1666">
        <w:rPr>
          <w:lang w:eastAsia="et-EE"/>
        </w:rPr>
        <w:lastRenderedPageBreak/>
        <w:t>RVS</w:t>
      </w:r>
      <w:r w:rsidR="00A84394">
        <w:rPr>
          <w:lang w:eastAsia="et-EE"/>
        </w:rPr>
        <w:t> </w:t>
      </w:r>
      <w:r w:rsidR="007F78DF" w:rsidRPr="00AD1666">
        <w:rPr>
          <w:lang w:eastAsia="et-EE"/>
        </w:rPr>
        <w:t>§</w:t>
      </w:r>
      <w:r w:rsidR="00A84394">
        <w:rPr>
          <w:lang w:eastAsia="et-EE"/>
        </w:rPr>
        <w:t> </w:t>
      </w:r>
      <w:r w:rsidR="007F78DF" w:rsidRPr="00AD1666">
        <w:rPr>
          <w:lang w:eastAsia="et-EE"/>
        </w:rPr>
        <w:t>18</w:t>
      </w:r>
      <w:r w:rsidR="007F78DF" w:rsidRPr="00AD1666">
        <w:rPr>
          <w:vertAlign w:val="superscript"/>
          <w:lang w:eastAsia="et-EE"/>
        </w:rPr>
        <w:t>1</w:t>
      </w:r>
      <w:r w:rsidR="007F78DF" w:rsidRPr="00AD1666">
        <w:rPr>
          <w:lang w:eastAsia="et-EE"/>
        </w:rPr>
        <w:t xml:space="preserve"> lõike 2 punkti </w:t>
      </w:r>
      <w:r w:rsidR="005B0DFE">
        <w:rPr>
          <w:lang w:eastAsia="et-EE"/>
        </w:rPr>
        <w:t>6</w:t>
      </w:r>
      <w:r w:rsidR="005B0DFE" w:rsidRPr="00AD1666">
        <w:rPr>
          <w:lang w:eastAsia="et-EE"/>
        </w:rPr>
        <w:t xml:space="preserve"> </w:t>
      </w:r>
      <w:r w:rsidR="00F034C1" w:rsidRPr="00AD1666">
        <w:rPr>
          <w:lang w:eastAsia="et-EE"/>
        </w:rPr>
        <w:t>alusel</w:t>
      </w:r>
      <w:r w:rsidR="007F78DF" w:rsidRPr="00AD1666">
        <w:rPr>
          <w:lang w:eastAsia="et-EE"/>
        </w:rPr>
        <w:t xml:space="preserve"> võib turupõhise kasutustasu leida turuanalüüsi tulemusel või muudel põhjendatud alustel, </w:t>
      </w:r>
      <w:r w:rsidR="00BB71DB" w:rsidRPr="00554489">
        <w:rPr>
          <w:lang w:eastAsia="et-EE"/>
        </w:rPr>
        <w:t>kui</w:t>
      </w:r>
      <w:r w:rsidR="00BB71DB">
        <w:rPr>
          <w:lang w:eastAsia="et-EE"/>
        </w:rPr>
        <w:t xml:space="preserve"> </w:t>
      </w:r>
      <w:r w:rsidR="00BB71DB" w:rsidRPr="00554489">
        <w:rPr>
          <w:lang w:eastAsia="et-EE"/>
        </w:rPr>
        <w:t> turupõhise kasutustasu on välja selgitanud Maa- ja Ruumiamet</w:t>
      </w:r>
      <w:r w:rsidR="00BB71DB">
        <w:rPr>
          <w:lang w:eastAsia="et-EE"/>
        </w:rPr>
        <w:t>.</w:t>
      </w:r>
      <w:r w:rsidR="007F78DF" w:rsidRPr="00AD1666">
        <w:rPr>
          <w:lang w:eastAsia="et-EE"/>
        </w:rPr>
        <w:t xml:space="preserve"> </w:t>
      </w:r>
      <w:r w:rsidR="00890A67" w:rsidRPr="00AD1666">
        <w:rPr>
          <w:lang w:eastAsia="et-EE"/>
        </w:rPr>
        <w:t xml:space="preserve">Vabariigi Valitsuse 09.03.2023 määruse nr 22 „Kinnisasja erakorralise hindamise kord“ § </w:t>
      </w:r>
      <w:r w:rsidR="001644DA" w:rsidRPr="00AD1666">
        <w:rPr>
          <w:lang w:eastAsia="et-EE"/>
        </w:rPr>
        <w:t xml:space="preserve">25 lõike 2 kohaselt võib turupõhise kasutustasu hinnata kinnisasja väärtuse kaudu, </w:t>
      </w:r>
      <w:r w:rsidR="00E2235E" w:rsidRPr="00AD1666">
        <w:rPr>
          <w:lang w:eastAsia="et-EE"/>
        </w:rPr>
        <w:t xml:space="preserve">määrates </w:t>
      </w:r>
      <w:r w:rsidR="001644DA" w:rsidRPr="00AD1666">
        <w:rPr>
          <w:lang w:eastAsia="et-EE"/>
        </w:rPr>
        <w:t xml:space="preserve">kasutusse antava hoonestamata </w:t>
      </w:r>
      <w:r w:rsidR="00E2235E" w:rsidRPr="00AD1666">
        <w:rPr>
          <w:lang w:eastAsia="et-EE"/>
        </w:rPr>
        <w:t xml:space="preserve">kinnisasja kasutustasuks kolm protsenti kinnisasja väärtusest ja hoonestatud </w:t>
      </w:r>
      <w:r w:rsidR="001644DA" w:rsidRPr="00AD1666">
        <w:rPr>
          <w:lang w:eastAsia="et-EE"/>
        </w:rPr>
        <w:t>kinnisasja kasutustasu</w:t>
      </w:r>
      <w:r w:rsidR="00E2235E" w:rsidRPr="00AD1666">
        <w:rPr>
          <w:lang w:eastAsia="et-EE"/>
        </w:rPr>
        <w:t>ks viis protsenti kinnisasja väärtusest.</w:t>
      </w:r>
      <w:r w:rsidR="00827F98">
        <w:rPr>
          <w:lang w:eastAsia="et-EE"/>
        </w:rPr>
        <w:t>M</w:t>
      </w:r>
      <w:r w:rsidR="007B56CA" w:rsidRPr="00AD1666">
        <w:t>aa hindamise seaduse § 4</w:t>
      </w:r>
      <w:r w:rsidR="007B56CA" w:rsidRPr="00AD1666">
        <w:rPr>
          <w:vertAlign w:val="superscript"/>
        </w:rPr>
        <w:t>1</w:t>
      </w:r>
      <w:r w:rsidR="007B56CA" w:rsidRPr="00AD1666">
        <w:t xml:space="preserve"> lõi</w:t>
      </w:r>
      <w:r w:rsidR="00E2235E" w:rsidRPr="00AD1666">
        <w:t xml:space="preserve">kest </w:t>
      </w:r>
      <w:r w:rsidR="007B56CA" w:rsidRPr="00AD1666">
        <w:t xml:space="preserve">1 </w:t>
      </w:r>
      <w:r w:rsidR="00E2235E" w:rsidRPr="00AD1666">
        <w:t xml:space="preserve">tulenevalt on maa maksustamishind määratud </w:t>
      </w:r>
      <w:r w:rsidR="007F78DF" w:rsidRPr="00AD1666">
        <w:t xml:space="preserve">igal neljandal aastal </w:t>
      </w:r>
      <w:r w:rsidR="00E2235E" w:rsidRPr="00AD1666">
        <w:t>andmekogude andmetele tugineva turupõhise maa hindamise tulemusena</w:t>
      </w:r>
      <w:r w:rsidR="00827F98">
        <w:t xml:space="preserve">. </w:t>
      </w:r>
      <w:proofErr w:type="spellStart"/>
      <w:r w:rsidR="00827F98">
        <w:t>Seega</w:t>
      </w:r>
      <w:r w:rsidR="00E2235E" w:rsidRPr="00AD1666">
        <w:t>kajastab</w:t>
      </w:r>
      <w:proofErr w:type="spellEnd"/>
      <w:r w:rsidR="00E2235E" w:rsidRPr="00AD1666">
        <w:t xml:space="preserve"> maa maksustamishind kinnisasja </w:t>
      </w:r>
      <w:r w:rsidR="007F78DF" w:rsidRPr="00AD1666">
        <w:t>harilikku väärtust</w:t>
      </w:r>
      <w:r w:rsidR="00F11F34">
        <w:t xml:space="preserve"> ja maakasutustasu võib leida </w:t>
      </w:r>
      <w:r w:rsidR="002204E7">
        <w:t xml:space="preserve">protsendina </w:t>
      </w:r>
      <w:r w:rsidR="00F11F34">
        <w:t>maa maksustamishinna</w:t>
      </w:r>
      <w:r w:rsidR="002204E7">
        <w:t>st</w:t>
      </w:r>
      <w:r w:rsidR="00F034C1" w:rsidRPr="00896EC3">
        <w:t>.</w:t>
      </w:r>
      <w:r w:rsidR="00B2000D" w:rsidRPr="00896EC3">
        <w:t xml:space="preserve"> </w:t>
      </w:r>
    </w:p>
    <w:p w14:paraId="0637CD0D" w14:textId="7508A896" w:rsidR="00E55FA2" w:rsidRDefault="00E55FA2" w:rsidP="00E55FA2">
      <w:pPr>
        <w:spacing w:before="240" w:after="240"/>
        <w:rPr>
          <w:lang w:eastAsia="et-EE"/>
        </w:rPr>
      </w:pPr>
      <w:r>
        <w:rPr>
          <w:lang w:eastAsia="et-EE"/>
        </w:rPr>
        <w:t>Eelnõus nimetatud kinnisasjade kasutamise</w:t>
      </w:r>
      <w:r w:rsidR="007E0639">
        <w:rPr>
          <w:lang w:eastAsia="et-EE"/>
        </w:rPr>
        <w:t>l</w:t>
      </w:r>
      <w:r>
        <w:rPr>
          <w:lang w:eastAsia="et-EE"/>
        </w:rPr>
        <w:t xml:space="preserve"> eristatakse nelja perioodi, mis on tasustatud erinevalt: </w:t>
      </w:r>
    </w:p>
    <w:p w14:paraId="77DB0A68" w14:textId="4ABCEC58" w:rsidR="00C21DCA" w:rsidRDefault="00E55FA2" w:rsidP="00E55FA2">
      <w:pPr>
        <w:spacing w:before="240" w:after="240"/>
      </w:pPr>
      <w:r>
        <w:rPr>
          <w:lang w:eastAsia="et-EE"/>
        </w:rPr>
        <w:t xml:space="preserve">1) </w:t>
      </w:r>
      <w:r w:rsidRPr="008F2A5F">
        <w:rPr>
          <w:b/>
          <w:bCs/>
          <w:lang w:eastAsia="et-EE"/>
        </w:rPr>
        <w:t>Arendusperioodil</w:t>
      </w:r>
      <w:r w:rsidR="00BB71DB" w:rsidRPr="00BB71DB">
        <w:rPr>
          <w:lang w:eastAsia="et-EE"/>
        </w:rPr>
        <w:t xml:space="preserve"> </w:t>
      </w:r>
      <w:r w:rsidR="00BB71DB">
        <w:rPr>
          <w:lang w:eastAsia="et-EE"/>
        </w:rPr>
        <w:t>makstav tasu kujuneb enampakkumisel. A</w:t>
      </w:r>
      <w:r w:rsidR="00BB71DB">
        <w:t xml:space="preserve">rendusperiood </w:t>
      </w:r>
      <w:r>
        <w:rPr>
          <w:lang w:eastAsia="et-EE"/>
        </w:rPr>
        <w:t xml:space="preserve"> kestab enampakkumise järgse kokkuleppe sõlmimisest kuni </w:t>
      </w:r>
      <w:r w:rsidRPr="00896EC3">
        <w:t>hoonestusõiguse kinnistusraamatusse kandmiseni</w:t>
      </w:r>
      <w:r w:rsidR="00BB71DB">
        <w:t xml:space="preserve">, siis </w:t>
      </w:r>
      <w:r>
        <w:t>ei toimu veel ehitamist ja tegemist on hoonestamata kinnisasjadega. Seega on põhjendatud arendusperioodi aastatasu</w:t>
      </w:r>
      <w:r w:rsidR="00BB71DB">
        <w:t xml:space="preserve"> </w:t>
      </w:r>
      <w:bookmarkStart w:id="2" w:name="_Hlk221620119"/>
      <w:r w:rsidR="0060033D" w:rsidRPr="00896EC3">
        <w:t xml:space="preserve">alghinnaks määrata </w:t>
      </w:r>
      <w:r w:rsidR="00E2235E" w:rsidRPr="00896EC3">
        <w:t>kolm</w:t>
      </w:r>
      <w:r w:rsidR="007F78DF" w:rsidRPr="00896EC3">
        <w:t xml:space="preserve"> </w:t>
      </w:r>
      <w:r w:rsidR="00E2235E" w:rsidRPr="00896EC3">
        <w:t xml:space="preserve">protsenti </w:t>
      </w:r>
      <w:r w:rsidR="007F78DF" w:rsidRPr="00896EC3">
        <w:t>kehtivast maa maksustamishinnast</w:t>
      </w:r>
      <w:r w:rsidR="00F034C1" w:rsidRPr="00896EC3">
        <w:t>.</w:t>
      </w:r>
      <w:bookmarkEnd w:id="1"/>
      <w:r w:rsidR="0060033D" w:rsidRPr="00896EC3">
        <w:t xml:space="preserve"> </w:t>
      </w:r>
      <w:r w:rsidR="008323C7" w:rsidRPr="00896EC3">
        <w:t xml:space="preserve">Arendaja tasub omanikule </w:t>
      </w:r>
      <w:r w:rsidR="00A27625" w:rsidRPr="00896EC3">
        <w:t xml:space="preserve">enampakkumisel kujuneva tasu </w:t>
      </w:r>
      <w:r w:rsidR="00A27625">
        <w:t xml:space="preserve">enne lepingu sõlmimist korraga viie aasta ehk kogu </w:t>
      </w:r>
      <w:r w:rsidR="008323C7" w:rsidRPr="00896EC3">
        <w:t>arendus</w:t>
      </w:r>
      <w:r w:rsidR="00A27625">
        <w:t>perioodi eest</w:t>
      </w:r>
      <w:r>
        <w:t>.</w:t>
      </w:r>
    </w:p>
    <w:bookmarkEnd w:id="2"/>
    <w:p w14:paraId="56F6984F" w14:textId="0B58B5CC" w:rsidR="00F11F34" w:rsidRDefault="00F11F34" w:rsidP="00E55FA2">
      <w:pPr>
        <w:spacing w:before="240" w:after="240"/>
        <w:rPr>
          <w:lang w:eastAsia="et-EE"/>
        </w:rPr>
      </w:pPr>
      <w:r>
        <w:rPr>
          <w:lang w:eastAsia="et-EE"/>
        </w:rPr>
        <w:t>Arendusperioodi tasu maksmine kogu perioodi ehk viie</w:t>
      </w:r>
      <w:r w:rsidR="00314A40">
        <w:rPr>
          <w:lang w:eastAsia="et-EE"/>
        </w:rPr>
        <w:t xml:space="preserve"> </w:t>
      </w:r>
      <w:r>
        <w:rPr>
          <w:lang w:eastAsia="et-EE"/>
        </w:rPr>
        <w:t>aasta eest korraga vähendab riski, et enampakkumisel</w:t>
      </w:r>
      <w:r w:rsidR="00314A40">
        <w:rPr>
          <w:lang w:eastAsia="et-EE"/>
        </w:rPr>
        <w:t xml:space="preserve"> teevad konkurentsi tõrjumiseks põhjendamatuid pakkumisi isikud, kellel puudub tegelik arendussoov ja kes enampakkumise järgselt püüavad lepingust peagi taganeda.</w:t>
      </w:r>
      <w:r>
        <w:rPr>
          <w:lang w:eastAsia="et-EE"/>
        </w:rPr>
        <w:t xml:space="preserve"> </w:t>
      </w:r>
      <w:r w:rsidR="00314A40">
        <w:rPr>
          <w:lang w:eastAsia="et-EE"/>
        </w:rPr>
        <w:t>Lepinguga on reguleeritud, et arendusperioodi lepingust saab ilma suurema riskita taganeda vaid juhul, kui riigimaale ei ole võimalik ühtegi tuuleelektrijaama</w:t>
      </w:r>
      <w:r w:rsidR="00314A40" w:rsidRPr="00314A40">
        <w:rPr>
          <w:lang w:eastAsia="et-EE"/>
        </w:rPr>
        <w:t xml:space="preserve"> </w:t>
      </w:r>
      <w:r w:rsidR="00314A40">
        <w:rPr>
          <w:lang w:eastAsia="et-EE"/>
        </w:rPr>
        <w:t xml:space="preserve">ehitada põhjustel, mis ei </w:t>
      </w:r>
      <w:r w:rsidR="002204E7">
        <w:rPr>
          <w:lang w:eastAsia="et-EE"/>
        </w:rPr>
        <w:t>tule</w:t>
      </w:r>
      <w:r w:rsidR="00314A40">
        <w:rPr>
          <w:lang w:eastAsia="et-EE"/>
        </w:rPr>
        <w:t>ne arendaja</w:t>
      </w:r>
      <w:r w:rsidR="002204E7">
        <w:rPr>
          <w:lang w:eastAsia="et-EE"/>
        </w:rPr>
        <w:t xml:space="preserve"> tegevusest või tegevusetustest</w:t>
      </w:r>
      <w:r w:rsidR="00314A40">
        <w:rPr>
          <w:lang w:eastAsia="et-EE"/>
        </w:rPr>
        <w:t>.</w:t>
      </w:r>
    </w:p>
    <w:p w14:paraId="5176316C" w14:textId="5A61DC77" w:rsidR="007805B2" w:rsidRPr="001D790C" w:rsidRDefault="00C7364C" w:rsidP="00F11F34">
      <w:pPr>
        <w:spacing w:before="240" w:after="240"/>
      </w:pPr>
      <w:bookmarkStart w:id="3" w:name="_Hlk180265156"/>
      <w:r>
        <w:t xml:space="preserve">2) </w:t>
      </w:r>
      <w:r w:rsidRPr="001D790C">
        <w:t xml:space="preserve">Hoonestusõiguse seadmisega algab </w:t>
      </w:r>
      <w:r w:rsidRPr="001D790C">
        <w:rPr>
          <w:b/>
          <w:bCs/>
        </w:rPr>
        <w:t>e</w:t>
      </w:r>
      <w:r w:rsidR="0060033D" w:rsidRPr="001D790C">
        <w:rPr>
          <w:b/>
          <w:bCs/>
        </w:rPr>
        <w:t>hitus</w:t>
      </w:r>
      <w:r w:rsidRPr="001D790C">
        <w:rPr>
          <w:b/>
          <w:bCs/>
        </w:rPr>
        <w:t>periood</w:t>
      </w:r>
      <w:r w:rsidRPr="001D790C">
        <w:t xml:space="preserve">, mis lõpeb 3 aasta möödumisel või tuuleelektrijaama võrguga sünkroniseerimisele eelneval päeval, sõltuvalt sellest, kumb tähtpäev saabub </w:t>
      </w:r>
      <w:r w:rsidR="00D92318" w:rsidRPr="00ED27F5">
        <w:t>vare</w:t>
      </w:r>
      <w:r w:rsidR="00425F1C" w:rsidRPr="00ED27F5">
        <w:t>m</w:t>
      </w:r>
      <w:r w:rsidRPr="00ED27F5">
        <w:t>.</w:t>
      </w:r>
      <w:r w:rsidRPr="001D790C">
        <w:t xml:space="preserve"> Ehitusperioodil tasub arendaja </w:t>
      </w:r>
      <w:r w:rsidR="00A27625" w:rsidRPr="001D790C">
        <w:t xml:space="preserve"> </w:t>
      </w:r>
      <w:r w:rsidRPr="001D790C">
        <w:t xml:space="preserve">maakasutustasu, mis vastab hoonestusõigusega koormatava ala maa maksustamishinnale ehituslubade väljastamise hetkel. </w:t>
      </w:r>
    </w:p>
    <w:p w14:paraId="231EB4B9" w14:textId="791F89A8" w:rsidR="007805B2" w:rsidRPr="001D790C" w:rsidRDefault="00C7364C" w:rsidP="007805B2">
      <w:pPr>
        <w:spacing w:before="240" w:after="240"/>
      </w:pPr>
      <w:r w:rsidRPr="001D790C">
        <w:t>Kogu maakasutustasust tuleb 50% tasuda hoonestusõiguse seadmisel ja ülejäänud osa maakasutustasu tasutakse hoonestusõiguse aastatasudena, mis arvestatakse kogu maakasutustasu korrutamisel</w:t>
      </w:r>
      <w:r w:rsidRPr="001D790C">
        <w:rPr>
          <w:b/>
          <w:bCs/>
        </w:rPr>
        <w:t xml:space="preserve"> </w:t>
      </w:r>
      <w:r w:rsidRPr="001D790C">
        <w:t>50%-</w:t>
      </w:r>
      <w:proofErr w:type="spellStart"/>
      <w:r w:rsidRPr="001D790C">
        <w:t>ga</w:t>
      </w:r>
      <w:proofErr w:type="spellEnd"/>
      <w:r w:rsidRPr="001D790C">
        <w:t xml:space="preserve"> ja saadud tulemuse jagamisel 40-ga.  </w:t>
      </w:r>
      <w:r w:rsidR="007805B2" w:rsidRPr="001D790C">
        <w:t xml:space="preserve">Maakasutustasust poole </w:t>
      </w:r>
      <w:r w:rsidR="004A3C2F" w:rsidRPr="001D790C">
        <w:t xml:space="preserve">küsimine </w:t>
      </w:r>
      <w:r w:rsidR="007805B2" w:rsidRPr="001D790C">
        <w:t>kohe hoonestusõiguse seadmisel aitab saavutada  hoonestusõiguse seadmise eesmärki, et Eesti elektriturule lisanduks võimalikult kiiresti täiendavad maismaatuule tootmisvõimsused. Suurema alginvesteeringu tegemine motiveerib</w:t>
      </w:r>
      <w:r w:rsidR="001D790C">
        <w:t xml:space="preserve"> </w:t>
      </w:r>
      <w:proofErr w:type="spellStart"/>
      <w:r w:rsidR="007805B2" w:rsidRPr="001D790C">
        <w:t>hoonestajat</w:t>
      </w:r>
      <w:proofErr w:type="spellEnd"/>
      <w:r w:rsidR="007805B2" w:rsidRPr="001D790C">
        <w:t xml:space="preserve"> alustama kiiremini energia tootmist, et oma investeeringult kiiremini tulu saada. </w:t>
      </w:r>
    </w:p>
    <w:p w14:paraId="094E3DFD" w14:textId="4B9852A1" w:rsidR="009F045F" w:rsidRPr="001D790C" w:rsidRDefault="00F11F34" w:rsidP="00C93752">
      <w:pPr>
        <w:rPr>
          <w:lang w:eastAsia="et-EE"/>
        </w:rPr>
      </w:pPr>
      <w:r w:rsidRPr="001D790C">
        <w:t>Riigivaraseaduse § 18 lõi</w:t>
      </w:r>
      <w:r w:rsidR="008F2A5F" w:rsidRPr="001D790C">
        <w:t>ge 6 kohustab üle kolmeaastase tähtajaga kasutuslepingus nägema ette kasutustasu suuruse muutmise tingimused</w:t>
      </w:r>
      <w:r w:rsidR="00D84C14" w:rsidRPr="001D790C">
        <w:t xml:space="preserve"> ja </w:t>
      </w:r>
      <w:r w:rsidR="00B36643" w:rsidRPr="001D790C">
        <w:t>§ 18 lõike 1 kohaselt peab</w:t>
      </w:r>
      <w:r w:rsidR="00B36643" w:rsidRPr="001D790C">
        <w:rPr>
          <w:lang w:eastAsia="et-EE"/>
        </w:rPr>
        <w:t xml:space="preserve"> kasutustasu olema turupõhine</w:t>
      </w:r>
      <w:r w:rsidR="00D84C14" w:rsidRPr="001D790C">
        <w:rPr>
          <w:lang w:eastAsia="et-EE"/>
        </w:rPr>
        <w:t xml:space="preserve">. </w:t>
      </w:r>
      <w:r w:rsidR="00B36643" w:rsidRPr="001D790C">
        <w:rPr>
          <w:lang w:eastAsia="et-EE"/>
        </w:rPr>
        <w:t xml:space="preserve">RVS § 28 punktist 5 tulenevalt võib hoonestusõiguse tasu muutmist nõuda kolme aasta möödudes asjaõiguse tekkimisest ning uuesti kolm aastat pärast viimase tasu muutmist. </w:t>
      </w:r>
      <w:r w:rsidR="00DE393C" w:rsidRPr="001D790C">
        <w:rPr>
          <w:lang w:eastAsia="et-EE"/>
        </w:rPr>
        <w:t xml:space="preserve">Seega tuleb lepingus näha ette aastatasu suuruse muutus </w:t>
      </w:r>
      <w:r w:rsidR="00B90E9B" w:rsidRPr="001D790C">
        <w:rPr>
          <w:lang w:eastAsia="et-EE"/>
        </w:rPr>
        <w:t xml:space="preserve">iga kolme aasta järel </w:t>
      </w:r>
      <w:r w:rsidR="00DE393C" w:rsidRPr="001D790C">
        <w:rPr>
          <w:lang w:eastAsia="et-EE"/>
        </w:rPr>
        <w:t>vastavalt üldisele turupõhiste hindade muutusele.</w:t>
      </w:r>
    </w:p>
    <w:p w14:paraId="6E29CA56" w14:textId="77777777" w:rsidR="009F045F" w:rsidRPr="001D790C" w:rsidRDefault="009F045F" w:rsidP="00C93752">
      <w:pPr>
        <w:rPr>
          <w:lang w:eastAsia="et-EE"/>
        </w:rPr>
      </w:pPr>
    </w:p>
    <w:p w14:paraId="4C112C95" w14:textId="68AFF6A4" w:rsidR="00F11F34" w:rsidRDefault="00CE5C36" w:rsidP="00C04C74">
      <w:r w:rsidRPr="001D790C">
        <w:rPr>
          <w:lang w:eastAsia="et-EE"/>
        </w:rPr>
        <w:t xml:space="preserve">Üldjuhul lähtutakse tulevikuprognoosides </w:t>
      </w:r>
      <w:r w:rsidR="009F045F" w:rsidRPr="001D790C">
        <w:rPr>
          <w:lang w:eastAsia="et-EE"/>
        </w:rPr>
        <w:t>tarbijahinnaindeksi</w:t>
      </w:r>
      <w:r w:rsidRPr="001D790C">
        <w:rPr>
          <w:lang w:eastAsia="et-EE"/>
        </w:rPr>
        <w:t xml:space="preserve"> muutustest</w:t>
      </w:r>
      <w:r w:rsidR="00DE393C" w:rsidRPr="001D790C">
        <w:rPr>
          <w:lang w:eastAsia="et-EE"/>
        </w:rPr>
        <w:t xml:space="preserve">, mis oli 2024. aastal </w:t>
      </w:r>
      <w:r w:rsidR="00DE393C" w:rsidRPr="001D790C">
        <w:t>3,5%</w:t>
      </w:r>
      <w:r w:rsidR="00DE393C" w:rsidRPr="001D790C">
        <w:rPr>
          <w:lang w:eastAsia="et-EE"/>
        </w:rPr>
        <w:t xml:space="preserve">. ja </w:t>
      </w:r>
      <w:r w:rsidR="00C93752" w:rsidRPr="001D790C">
        <w:t>2025</w:t>
      </w:r>
      <w:r w:rsidR="00DE393C" w:rsidRPr="001D790C">
        <w:t xml:space="preserve">. aastal </w:t>
      </w:r>
      <w:r w:rsidR="00C93752" w:rsidRPr="001D790C">
        <w:t xml:space="preserve">4,8%. Eesti Pank </w:t>
      </w:r>
      <w:r w:rsidR="00DE393C" w:rsidRPr="001D790C">
        <w:t>on prognoosinud k</w:t>
      </w:r>
      <w:r w:rsidR="00C93752" w:rsidRPr="001D790C">
        <w:t>äesoleva</w:t>
      </w:r>
      <w:r w:rsidR="00DE393C" w:rsidRPr="001D790C">
        <w:t xml:space="preserve"> aasta </w:t>
      </w:r>
      <w:r w:rsidR="00C93752" w:rsidRPr="001D790C">
        <w:t>ja kahe järgmis</w:t>
      </w:r>
      <w:r w:rsidR="00DE393C" w:rsidRPr="001D790C">
        <w:t xml:space="preserve">e </w:t>
      </w:r>
      <w:r w:rsidR="00C93752" w:rsidRPr="001D790C">
        <w:t xml:space="preserve">aasta </w:t>
      </w:r>
      <w:r w:rsidR="00DE393C" w:rsidRPr="001D790C">
        <w:rPr>
          <w:lang w:eastAsia="et-EE"/>
        </w:rPr>
        <w:t>tarbijahinnaindeksi</w:t>
      </w:r>
      <w:r w:rsidR="00C93752" w:rsidRPr="001D790C">
        <w:t xml:space="preserve"> muutuse</w:t>
      </w:r>
      <w:r w:rsidR="00DE393C" w:rsidRPr="001D790C">
        <w:t>k</w:t>
      </w:r>
      <w:r w:rsidR="00C93752" w:rsidRPr="001D790C">
        <w:t xml:space="preserve">s </w:t>
      </w:r>
      <w:r w:rsidR="00DE393C" w:rsidRPr="001D790C">
        <w:t xml:space="preserve">vastavalt </w:t>
      </w:r>
      <w:r w:rsidR="00C93752" w:rsidRPr="001D790C">
        <w:t>2,9%, 2,4% ja 2,8%.</w:t>
      </w:r>
      <w:r w:rsidR="00DE393C" w:rsidRPr="001D790C">
        <w:t xml:space="preserve"> Arvestades viimase kahe aasta tegelikke ja kolme järgneva aasta prognoositavaid </w:t>
      </w:r>
      <w:r w:rsidR="00DE393C" w:rsidRPr="001D790C">
        <w:rPr>
          <w:lang w:eastAsia="et-EE"/>
        </w:rPr>
        <w:t xml:space="preserve">tarbijahinnaindeksi muutusi, on viie aasta </w:t>
      </w:r>
      <w:r w:rsidR="00DE393C" w:rsidRPr="001D790C">
        <w:t xml:space="preserve">(2024-2028) </w:t>
      </w:r>
      <w:r w:rsidR="00DE393C" w:rsidRPr="001D790C">
        <w:rPr>
          <w:lang w:eastAsia="et-EE"/>
        </w:rPr>
        <w:t xml:space="preserve">tarbijahinnaindeksi muutuse </w:t>
      </w:r>
      <w:r w:rsidR="00C93752" w:rsidRPr="001D790C">
        <w:t xml:space="preserve">aritmeetiline keskmine </w:t>
      </w:r>
      <w:r w:rsidR="00C04C74" w:rsidRPr="001D790C">
        <w:t>~</w:t>
      </w:r>
      <w:r w:rsidR="00C93752" w:rsidRPr="001D790C">
        <w:t xml:space="preserve">3,3%. </w:t>
      </w:r>
      <w:r w:rsidR="00C93752" w:rsidRPr="001D790C">
        <w:rPr>
          <w:lang w:eastAsia="et-EE"/>
        </w:rPr>
        <w:t xml:space="preserve">Seega tuleb </w:t>
      </w:r>
      <w:r w:rsidR="004A3C2F" w:rsidRPr="001D790C">
        <w:t xml:space="preserve">aastatasu </w:t>
      </w:r>
      <w:r w:rsidR="00D84C14" w:rsidRPr="001D790C">
        <w:lastRenderedPageBreak/>
        <w:t>turupõhisena hoidmiseks</w:t>
      </w:r>
      <w:r w:rsidR="00C65AA9" w:rsidRPr="001D790C">
        <w:t xml:space="preserve"> </w:t>
      </w:r>
      <w:r w:rsidR="00D84C14" w:rsidRPr="001D790C">
        <w:t>näha lepingus ette,</w:t>
      </w:r>
      <w:r w:rsidR="00F11F34" w:rsidRPr="001D790C">
        <w:t xml:space="preserve"> et aastatasu suurene</w:t>
      </w:r>
      <w:r w:rsidR="004A3C2F" w:rsidRPr="001D790C">
        <w:t>b</w:t>
      </w:r>
      <w:r w:rsidR="00F11F34" w:rsidRPr="001D790C">
        <w:t xml:space="preserve"> iga kolme aasta järel 10%</w:t>
      </w:r>
      <w:r w:rsidR="00C65AA9" w:rsidRPr="001D790C">
        <w:t xml:space="preserve"> ehk ligika</w:t>
      </w:r>
      <w:r w:rsidR="00C04C74" w:rsidRPr="001D790C">
        <w:t>u</w:t>
      </w:r>
      <w:r w:rsidR="00C65AA9" w:rsidRPr="001D790C">
        <w:t>du 3,3% aastas</w:t>
      </w:r>
      <w:r w:rsidR="00C93752" w:rsidRPr="001D790C">
        <w:t>.</w:t>
      </w:r>
    </w:p>
    <w:p w14:paraId="410D785A" w14:textId="0C7A3408" w:rsidR="00896EC3" w:rsidRDefault="00C7364C" w:rsidP="003E5039">
      <w:pPr>
        <w:spacing w:before="240" w:after="240"/>
      </w:pPr>
      <w:bookmarkStart w:id="4" w:name="_Hlk220335432"/>
      <w:r>
        <w:t xml:space="preserve">3) </w:t>
      </w:r>
      <w:r w:rsidR="00C74BEB">
        <w:t>T</w:t>
      </w:r>
      <w:r w:rsidR="00C74BEB" w:rsidRPr="00C74BEB">
        <w:t xml:space="preserve">uuleelektrijaama võrguga sünkroniseerimise päeval </w:t>
      </w:r>
      <w:r w:rsidR="00C74BEB">
        <w:t xml:space="preserve">algab </w:t>
      </w:r>
      <w:r w:rsidR="00C74BEB" w:rsidRPr="00136EB8">
        <w:rPr>
          <w:b/>
          <w:bCs/>
        </w:rPr>
        <w:t>tootmisperiood</w:t>
      </w:r>
      <w:r w:rsidR="00C74BEB">
        <w:t xml:space="preserve">, mis </w:t>
      </w:r>
      <w:r w:rsidR="00C74BEB" w:rsidRPr="00C74BEB">
        <w:t>kestab 35</w:t>
      </w:r>
      <w:r w:rsidR="00E92A25">
        <w:t> </w:t>
      </w:r>
      <w:r w:rsidR="00C74BEB" w:rsidRPr="00C74BEB">
        <w:t xml:space="preserve">aastat. </w:t>
      </w:r>
      <w:r w:rsidR="00C74BEB">
        <w:t xml:space="preserve">Tootmisperioodil lisandub eelmises punktis kirjeldatud maakasutustasule ka </w:t>
      </w:r>
      <w:r w:rsidR="007B6001">
        <w:t>tootmis</w:t>
      </w:r>
      <w:r w:rsidR="00C74BEB">
        <w:t>tasu</w:t>
      </w:r>
      <w:r w:rsidR="007B6001">
        <w:t>, mis</w:t>
      </w:r>
      <w:bookmarkEnd w:id="4"/>
      <w:r w:rsidR="007B6001">
        <w:t xml:space="preserve"> arvestatakse protsendina hoonestusõigusega koormatud riigimaal asuvate </w:t>
      </w:r>
      <w:r w:rsidR="00896EC3" w:rsidRPr="00896EC3">
        <w:t>taastuvenergia tootmise</w:t>
      </w:r>
      <w:r w:rsidR="007B6001">
        <w:t xml:space="preserve"> seadmetega </w:t>
      </w:r>
      <w:r w:rsidR="00896EC3" w:rsidRPr="00896EC3">
        <w:t xml:space="preserve">teenitud </w:t>
      </w:r>
      <w:r w:rsidR="007B6001">
        <w:t xml:space="preserve">elektrienergia </w:t>
      </w:r>
      <w:r w:rsidR="00896EC3" w:rsidRPr="00896EC3">
        <w:t xml:space="preserve">müügitulult. Müügitulult tasutav protsent on selgitatud välja tellitud eksperthinnanguga, milles leiti, et uute maismaatuuleparkide hinnanguline turutasemel keskmine </w:t>
      </w:r>
      <w:r w:rsidR="00C74BEB">
        <w:t>tootmis</w:t>
      </w:r>
      <w:r w:rsidR="00896EC3" w:rsidRPr="00896EC3">
        <w:t>tasu</w:t>
      </w:r>
      <w:r w:rsidR="00C74BEB">
        <w:t xml:space="preserve"> </w:t>
      </w:r>
      <w:r w:rsidR="00896EC3" w:rsidRPr="00896EC3">
        <w:t>määr Eestis on 3</w:t>
      </w:r>
      <w:r w:rsidR="00B433ED">
        <w:t>-</w:t>
      </w:r>
      <w:r w:rsidR="00896EC3" w:rsidRPr="00896EC3">
        <w:t>5%. Sellest tulenevalt on määrat</w:t>
      </w:r>
      <w:r w:rsidR="00896EC3">
        <w:t>ud</w:t>
      </w:r>
      <w:r w:rsidR="00896EC3" w:rsidRPr="00896EC3">
        <w:t xml:space="preserve"> </w:t>
      </w:r>
      <w:r w:rsidR="00C74BEB">
        <w:t>tootmis</w:t>
      </w:r>
      <w:r w:rsidR="00896EC3" w:rsidRPr="00896EC3">
        <w:t xml:space="preserve">tasu protsendiks 4% </w:t>
      </w:r>
      <w:r w:rsidR="007B6001">
        <w:t xml:space="preserve">elektrienergia </w:t>
      </w:r>
      <w:r w:rsidR="00896EC3" w:rsidRPr="00896EC3">
        <w:t xml:space="preserve">müügitulust ning </w:t>
      </w:r>
      <w:r w:rsidR="00896EC3">
        <w:t xml:space="preserve">see fikseeritakse </w:t>
      </w:r>
      <w:r w:rsidR="00896EC3" w:rsidRPr="00896EC3">
        <w:t xml:space="preserve">kogu lepingu perioodiks. </w:t>
      </w:r>
    </w:p>
    <w:p w14:paraId="6DD892E5" w14:textId="3DC887D3" w:rsidR="00CA23D9" w:rsidRDefault="00C74BEB" w:rsidP="00136EB8">
      <w:r>
        <w:t xml:space="preserve">Hoonestusõiguse lepingus </w:t>
      </w:r>
      <w:r w:rsidR="00CA23D9">
        <w:t>nähakse ette ka arvestuslik tootmistasu</w:t>
      </w:r>
      <w:r w:rsidR="00BB71DB">
        <w:t xml:space="preserve">, mida </w:t>
      </w:r>
      <w:proofErr w:type="spellStart"/>
      <w:r w:rsidR="00BB71DB">
        <w:t>hoonestaja</w:t>
      </w:r>
      <w:proofErr w:type="spellEnd"/>
      <w:r w:rsidR="00BB71DB">
        <w:t xml:space="preserve"> </w:t>
      </w:r>
      <w:r w:rsidR="00136EB8">
        <w:t>tasub</w:t>
      </w:r>
      <w:r w:rsidR="00BB71DB">
        <w:t xml:space="preserve"> </w:t>
      </w:r>
      <w:r w:rsidR="00CA23D9">
        <w:t xml:space="preserve"> juhul, k</w:t>
      </w:r>
      <w:r>
        <w:t xml:space="preserve">ui maaomanikul ei ole võimalik arvestada tootmistasu elektrienergia </w:t>
      </w:r>
      <w:r w:rsidRPr="00896EC3">
        <w:t>müügitulu</w:t>
      </w:r>
      <w:r>
        <w:t xml:space="preserve"> alusel</w:t>
      </w:r>
      <w:r w:rsidR="00CA23D9">
        <w:t>. Arvestuslik tootmistasu arvutatakse olenevalt olukorrale kahel viisil:</w:t>
      </w:r>
    </w:p>
    <w:p w14:paraId="39C8E7A0" w14:textId="2E0CE58C" w:rsidR="00CA23D9" w:rsidRDefault="002940BF" w:rsidP="001D790C">
      <w:pPr>
        <w:ind w:left="284" w:hanging="284"/>
      </w:pPr>
      <w:r>
        <w:t>-</w:t>
      </w:r>
      <w:r w:rsidR="001D790C">
        <w:tab/>
      </w:r>
      <w:r w:rsidR="00CA23D9" w:rsidRPr="00CA23D9">
        <w:t>riigimaale projekteeritud tuuliku(te) tootmisvõimsus</w:t>
      </w:r>
      <w:r w:rsidR="00CA23D9">
        <w:t xml:space="preserve">e ja </w:t>
      </w:r>
      <w:r w:rsidR="00CA23D9" w:rsidRPr="00CA23D9">
        <w:t>vastava kvartali aritmeetilise keskmise börsihin</w:t>
      </w:r>
      <w:r w:rsidR="00CA23D9">
        <w:t xml:space="preserve">na alusel. Selliselt arvestatakse tootmistasu juhul, kui </w:t>
      </w:r>
      <w:proofErr w:type="spellStart"/>
      <w:r w:rsidR="00CA23D9">
        <w:t>hoonestaja</w:t>
      </w:r>
      <w:proofErr w:type="spellEnd"/>
      <w:r w:rsidR="00CA23D9">
        <w:t xml:space="preserve"> ei alusta tootmist tähtaegselt või jätab esitamata</w:t>
      </w:r>
      <w:r w:rsidR="00C74BEB">
        <w:t xml:space="preserve"> </w:t>
      </w:r>
      <w:r w:rsidR="00CA23D9">
        <w:t xml:space="preserve">andmed </w:t>
      </w:r>
      <w:r w:rsidR="00314A40">
        <w:t>riigimaal</w:t>
      </w:r>
      <w:r w:rsidR="008F2A5F">
        <w:t xml:space="preserve"> </w:t>
      </w:r>
      <w:r w:rsidR="00314A40">
        <w:t xml:space="preserve">toodetud </w:t>
      </w:r>
      <w:r w:rsidR="00CA23D9">
        <w:t>elektrienergia</w:t>
      </w:r>
      <w:r w:rsidR="00314A40">
        <w:t xml:space="preserve"> </w:t>
      </w:r>
      <w:r w:rsidR="00CA23D9">
        <w:t>müügist teenitud tulu kohta;</w:t>
      </w:r>
    </w:p>
    <w:p w14:paraId="2F7EE075" w14:textId="3FCEF477" w:rsidR="00C74BEB" w:rsidRPr="00896EC3" w:rsidRDefault="002940BF" w:rsidP="001D790C">
      <w:pPr>
        <w:ind w:left="284" w:hanging="284"/>
      </w:pPr>
      <w:r>
        <w:t>-</w:t>
      </w:r>
      <w:r w:rsidR="00CA23D9">
        <w:t xml:space="preserve"> </w:t>
      </w:r>
      <w:r w:rsidR="001D790C">
        <w:tab/>
      </w:r>
      <w:proofErr w:type="spellStart"/>
      <w:r w:rsidR="00CA23D9" w:rsidRPr="00CA23D9">
        <w:t>hoonestaja</w:t>
      </w:r>
      <w:proofErr w:type="spellEnd"/>
      <w:r w:rsidR="00CA23D9" w:rsidRPr="00CA23D9">
        <w:t xml:space="preserve"> avaldatud elektrienergia tootmismah</w:t>
      </w:r>
      <w:r w:rsidR="00CA23D9">
        <w:t xml:space="preserve">u ja </w:t>
      </w:r>
      <w:r w:rsidR="00CA23D9" w:rsidRPr="00CA23D9">
        <w:t>tasu arvestamise perioodi vastava kvartali Eesti hinnapiirkonna järgmise päeva turu elektrienergia aritmeetili</w:t>
      </w:r>
      <w:r>
        <w:t>s</w:t>
      </w:r>
      <w:r w:rsidR="00CA23D9" w:rsidRPr="00CA23D9">
        <w:t>e keskmi</w:t>
      </w:r>
      <w:r>
        <w:t>s</w:t>
      </w:r>
      <w:r w:rsidR="00CA23D9" w:rsidRPr="00CA23D9">
        <w:t>e börsihin</w:t>
      </w:r>
      <w:r w:rsidR="00CA23D9">
        <w:t>na alusel.</w:t>
      </w:r>
      <w:r w:rsidR="00C74BEB">
        <w:t xml:space="preserve"> </w:t>
      </w:r>
      <w:r w:rsidR="00CA23D9">
        <w:t>Selliselt arvestatakse tootmistasu juhul, kui</w:t>
      </w:r>
      <w:r>
        <w:t xml:space="preserve"> </w:t>
      </w:r>
      <w:r w:rsidRPr="002940BF">
        <w:t xml:space="preserve">leiab tõendamist, et </w:t>
      </w:r>
      <w:proofErr w:type="spellStart"/>
      <w:r w:rsidR="008F2A5F">
        <w:t>hoonestaja</w:t>
      </w:r>
      <w:proofErr w:type="spellEnd"/>
      <w:r w:rsidR="008F2A5F">
        <w:t xml:space="preserve"> </w:t>
      </w:r>
      <w:r w:rsidR="008F2A5F" w:rsidRPr="002940BF">
        <w:t>ei olnud sõlmi</w:t>
      </w:r>
      <w:r w:rsidR="008F2A5F">
        <w:t>n</w:t>
      </w:r>
      <w:r w:rsidR="008F2A5F" w:rsidRPr="002940BF">
        <w:t xml:space="preserve">ud </w:t>
      </w:r>
      <w:r w:rsidR="00F11F34">
        <w:t>elektrienergia müügi</w:t>
      </w:r>
      <w:r w:rsidRPr="002940BF">
        <w:t>leping</w:t>
      </w:r>
      <w:r w:rsidR="008F2A5F">
        <w:t>ut</w:t>
      </w:r>
      <w:r w:rsidRPr="002940BF">
        <w:t xml:space="preserve"> turutingimustel</w:t>
      </w:r>
      <w:r w:rsidR="002C1671">
        <w:t>.</w:t>
      </w:r>
    </w:p>
    <w:p w14:paraId="2C3AD4FF" w14:textId="125545C1" w:rsidR="00896EC3" w:rsidRPr="00896EC3" w:rsidRDefault="002940BF" w:rsidP="003E5039">
      <w:pPr>
        <w:spacing w:before="240" w:after="240"/>
      </w:pPr>
      <w:r>
        <w:t xml:space="preserve">4) </w:t>
      </w:r>
      <w:r w:rsidR="00896EC3" w:rsidRPr="00136EB8">
        <w:rPr>
          <w:b/>
          <w:bCs/>
        </w:rPr>
        <w:t>Utiliseerimisperioodil</w:t>
      </w:r>
      <w:r w:rsidR="00896EC3" w:rsidRPr="00896EC3">
        <w:t xml:space="preserve"> jätkub hoonestusõiguse tasu maakasutuse komponendi tasumine kuni hoonestusperioodi lõpuni või tegeliku maakasutuse lõpuni. Müügitulult tasutav </w:t>
      </w:r>
      <w:proofErr w:type="spellStart"/>
      <w:r w:rsidR="00866DEF">
        <w:t>tootmi</w:t>
      </w:r>
      <w:r w:rsidR="00896EC3" w:rsidRPr="00896EC3">
        <w:t>tasu</w:t>
      </w:r>
      <w:proofErr w:type="spellEnd"/>
      <w:r w:rsidR="00896EC3" w:rsidRPr="00896EC3">
        <w:t xml:space="preserve"> rakendub kuni energiatootmise lõpuni.</w:t>
      </w:r>
    </w:p>
    <w:bookmarkEnd w:id="3"/>
    <w:p w14:paraId="7B1A2559" w14:textId="64A232F6" w:rsidR="00D50DE7" w:rsidRPr="003E5039" w:rsidRDefault="00DB2C04" w:rsidP="00E92A25">
      <w:pPr>
        <w:pStyle w:val="Pealkiri1"/>
        <w:numPr>
          <w:ilvl w:val="0"/>
          <w:numId w:val="0"/>
        </w:numPr>
        <w:spacing w:before="360" w:after="240"/>
        <w:ind w:left="360" w:hanging="360"/>
        <w:rPr>
          <w:rFonts w:cs="Times New Roman"/>
          <w:szCs w:val="24"/>
        </w:rPr>
      </w:pPr>
      <w:r>
        <w:rPr>
          <w:rFonts w:cs="Times New Roman"/>
          <w:szCs w:val="24"/>
        </w:rPr>
        <w:t xml:space="preserve">4. </w:t>
      </w:r>
      <w:r w:rsidR="009E02F4" w:rsidRPr="00AD1666">
        <w:rPr>
          <w:rFonts w:cs="Times New Roman"/>
          <w:szCs w:val="24"/>
        </w:rPr>
        <w:t>Riigivara tähtajaga üle 10 aasta kasutamiseks andmise põhjendus</w:t>
      </w:r>
    </w:p>
    <w:p w14:paraId="7AF394D3" w14:textId="40500B6F" w:rsidR="004109E9" w:rsidRPr="00AD1666" w:rsidRDefault="009E02F4" w:rsidP="003E5039">
      <w:pPr>
        <w:spacing w:before="240" w:after="240"/>
        <w:rPr>
          <w:bCs/>
        </w:rPr>
      </w:pPr>
      <w:r w:rsidRPr="00AD1666">
        <w:t xml:space="preserve">RVS § 20 lõike 1 kohaselt võib riigivara kasutamiseks anda tähtajatult või tähtajaliselt. </w:t>
      </w:r>
      <w:bookmarkStart w:id="5" w:name="_Hlk180264829"/>
      <w:r w:rsidRPr="00AD1666">
        <w:t>Vastavalt RVS § 19 lõikele 1 otsustab riigivara kasutamiseks andmise riigivara valitseja.  Sama paragrahvi lõike 2 punkti 2 kohaselt võib kinnisasja anda tähtajaga üle 10 aasta kasutamiseks vaid Vabariigi Valitsuse nõusolekul.</w:t>
      </w:r>
      <w:bookmarkEnd w:id="5"/>
    </w:p>
    <w:p w14:paraId="4ABFD94E" w14:textId="762EF102" w:rsidR="00057EAF" w:rsidRPr="00AD1666" w:rsidRDefault="004109E9" w:rsidP="003E5039">
      <w:pPr>
        <w:spacing w:before="240" w:after="240"/>
        <w:rPr>
          <w:bCs/>
        </w:rPr>
      </w:pPr>
      <w:r w:rsidRPr="00AD1666">
        <w:rPr>
          <w:bCs/>
        </w:rPr>
        <w:t>T</w:t>
      </w:r>
      <w:r w:rsidR="00057EAF" w:rsidRPr="00AD1666">
        <w:rPr>
          <w:bCs/>
        </w:rPr>
        <w:t xml:space="preserve">aastuvenergia tootmisüksuse </w:t>
      </w:r>
      <w:r w:rsidRPr="00AD1666">
        <w:rPr>
          <w:bCs/>
        </w:rPr>
        <w:t>rajamine on väga kapitalimahukas, kus suurimad kulud tehakse juba arenduse algfaasis</w:t>
      </w:r>
      <w:r w:rsidR="00057EAF" w:rsidRPr="00AD1666">
        <w:rPr>
          <w:bCs/>
        </w:rPr>
        <w:t xml:space="preserve"> seadmete ostmiseks, ehitustöödeks ja elektrivõrku ühendamiseks. </w:t>
      </w:r>
      <w:r w:rsidRPr="00AD1666">
        <w:rPr>
          <w:bCs/>
        </w:rPr>
        <w:t>Nende projektide tasuvusperiood on sageli pikk</w:t>
      </w:r>
      <w:r w:rsidR="00057EAF" w:rsidRPr="00AD1666">
        <w:rPr>
          <w:bCs/>
        </w:rPr>
        <w:t xml:space="preserve"> ja</w:t>
      </w:r>
      <w:r w:rsidRPr="00AD1666">
        <w:rPr>
          <w:bCs/>
        </w:rPr>
        <w:t xml:space="preserve"> </w:t>
      </w:r>
      <w:r w:rsidR="00057EAF" w:rsidRPr="00AD1666">
        <w:rPr>
          <w:bCs/>
        </w:rPr>
        <w:t>suuremad kasumid hakkavad realiseeruma alles aastaid pärast arenduse lõppu</w:t>
      </w:r>
      <w:r w:rsidR="000873F1" w:rsidRPr="00AD1666">
        <w:rPr>
          <w:bCs/>
        </w:rPr>
        <w:t xml:space="preserve">. </w:t>
      </w:r>
      <w:r w:rsidR="00057EAF" w:rsidRPr="00AD1666">
        <w:rPr>
          <w:bCs/>
        </w:rPr>
        <w:t xml:space="preserve">Taastuvenergia tootmise ehitised on pika elueaga seadmed ja toodavad elektrit efektiivselt 20-40 aastat.  </w:t>
      </w:r>
    </w:p>
    <w:p w14:paraId="2ED22DF0" w14:textId="2CB3FBE1" w:rsidR="00AD1666" w:rsidRPr="00AD1666" w:rsidRDefault="00057EAF" w:rsidP="003E5039">
      <w:pPr>
        <w:spacing w:before="240" w:after="240"/>
        <w:rPr>
          <w:bCs/>
        </w:rPr>
      </w:pPr>
      <w:r w:rsidRPr="00AD1666">
        <w:rPr>
          <w:bCs/>
        </w:rPr>
        <w:t>Taastuvenergia tootmisüksuse rajamine eeldab investeeringuid, mille saamine sõltub investeeringu stabiilsusest. Finantsasutuste jaoks on stabiilsemad ja kindlamad investeeringud</w:t>
      </w:r>
      <w:r w:rsidR="00AD1666" w:rsidRPr="00AD1666">
        <w:rPr>
          <w:bCs/>
        </w:rPr>
        <w:t xml:space="preserve"> pikaajalised projektid, mille puhul on paremini maandatud võimalike poliitiliste ja majanduslike muutustega seotud riskid</w:t>
      </w:r>
      <w:r w:rsidRPr="00AD1666">
        <w:rPr>
          <w:bCs/>
        </w:rPr>
        <w:t xml:space="preserve">. </w:t>
      </w:r>
    </w:p>
    <w:p w14:paraId="6D074DC2" w14:textId="47F350FB" w:rsidR="003661A3" w:rsidRPr="00AD1666" w:rsidRDefault="00AD1666" w:rsidP="003E5039">
      <w:pPr>
        <w:spacing w:before="240" w:after="240"/>
        <w:rPr>
          <w:bCs/>
        </w:rPr>
      </w:pPr>
      <w:r w:rsidRPr="00AD1666">
        <w:rPr>
          <w:bCs/>
        </w:rPr>
        <w:t xml:space="preserve">Eeltoodud asjaolusid arvestades on põhjendatud seada riigimaale hoonestusõigus taastuvenergia tootmiseks tähtajaga kuni 40 aastat, et </w:t>
      </w:r>
      <w:bookmarkStart w:id="6" w:name="_Hlk180264873"/>
      <w:r w:rsidRPr="00AD1666">
        <w:rPr>
          <w:bCs/>
        </w:rPr>
        <w:t xml:space="preserve">tagada </w:t>
      </w:r>
      <w:r w:rsidR="003A10A4">
        <w:rPr>
          <w:bCs/>
        </w:rPr>
        <w:t xml:space="preserve">energia tootjatele </w:t>
      </w:r>
      <w:r w:rsidRPr="00AD1666">
        <w:rPr>
          <w:bCs/>
        </w:rPr>
        <w:t xml:space="preserve">investeeringute tasuvus, optimaalne tootlikkus ja võimaldada väiksema keskkonnamõjuga </w:t>
      </w:r>
      <w:r w:rsidR="00C21DCA">
        <w:rPr>
          <w:bCs/>
        </w:rPr>
        <w:t>taastuv</w:t>
      </w:r>
      <w:r w:rsidRPr="00AD1666">
        <w:rPr>
          <w:bCs/>
        </w:rPr>
        <w:t>energia</w:t>
      </w:r>
      <w:r w:rsidR="00C21DCA">
        <w:rPr>
          <w:bCs/>
        </w:rPr>
        <w:t xml:space="preserve"> </w:t>
      </w:r>
      <w:r w:rsidRPr="00AD1666">
        <w:rPr>
          <w:bCs/>
        </w:rPr>
        <w:t xml:space="preserve">tootmist võimalikult pika perioodi jooksul. </w:t>
      </w:r>
    </w:p>
    <w:bookmarkEnd w:id="6"/>
    <w:p w14:paraId="5EDB383C" w14:textId="5F586CF3" w:rsidR="001F0DF7" w:rsidRPr="003E5039" w:rsidRDefault="002C1671" w:rsidP="00E92A25">
      <w:pPr>
        <w:pStyle w:val="Pealkiri1"/>
        <w:numPr>
          <w:ilvl w:val="0"/>
          <w:numId w:val="0"/>
        </w:numPr>
        <w:spacing w:before="360" w:after="240"/>
        <w:rPr>
          <w:rFonts w:cs="Times New Roman"/>
          <w:szCs w:val="24"/>
        </w:rPr>
      </w:pPr>
      <w:r>
        <w:rPr>
          <w:rFonts w:cs="Times New Roman"/>
          <w:szCs w:val="24"/>
        </w:rPr>
        <w:t xml:space="preserve">5. </w:t>
      </w:r>
      <w:r w:rsidR="009E02F4" w:rsidRPr="00AD1666">
        <w:rPr>
          <w:rFonts w:cs="Times New Roman"/>
          <w:szCs w:val="24"/>
        </w:rPr>
        <w:t>Andmed sõlmitava kasutuslepingu tingimuste kohta</w:t>
      </w:r>
    </w:p>
    <w:p w14:paraId="4437BD0D" w14:textId="7F20C4B0" w:rsidR="00CD296A" w:rsidRPr="00436E3F" w:rsidRDefault="00981BAA" w:rsidP="003E5039">
      <w:pPr>
        <w:pStyle w:val="Kehatekst"/>
        <w:tabs>
          <w:tab w:val="num" w:pos="0"/>
        </w:tabs>
        <w:spacing w:before="240" w:after="240"/>
        <w:jc w:val="both"/>
      </w:pPr>
      <w:r w:rsidRPr="007B6001">
        <w:t xml:space="preserve">Enampakkumise võitjaga (edaspidi arendaja) sõlmitakse esmalt arendusperioodiks </w:t>
      </w:r>
      <w:r w:rsidR="007B6001" w:rsidRPr="007B6001">
        <w:t xml:space="preserve">ehk </w:t>
      </w:r>
      <w:r w:rsidRPr="007B6001">
        <w:t xml:space="preserve">tähtajaga </w:t>
      </w:r>
      <w:r w:rsidR="00896EC3" w:rsidRPr="007B6001">
        <w:t>viis</w:t>
      </w:r>
      <w:r w:rsidRPr="007B6001">
        <w:t xml:space="preserve"> aastat leping, </w:t>
      </w:r>
      <w:r w:rsidR="00CD296A" w:rsidRPr="007B6001">
        <w:t>mis annab</w:t>
      </w:r>
      <w:r w:rsidR="00CD296A" w:rsidRPr="00436E3F">
        <w:t xml:space="preserve"> arendajale õiguse korraldada taastuvenergia ehitiste rajamiseks vajalikke eeltoiminguid, sh ala planeerimist ja ehitiste projekteerimist ja ala ettevalmistamist hoonestusõigusega koormamiseks. Selle</w:t>
      </w:r>
      <w:r w:rsidR="00E45D4C" w:rsidRPr="00436E3F">
        <w:t>l</w:t>
      </w:r>
      <w:r w:rsidR="00CD296A" w:rsidRPr="00436E3F">
        <w:t xml:space="preserve"> perioodi</w:t>
      </w:r>
      <w:r w:rsidR="00E45D4C" w:rsidRPr="00436E3F">
        <w:t>l</w:t>
      </w:r>
      <w:r w:rsidR="00CD296A" w:rsidRPr="00436E3F">
        <w:t xml:space="preserve"> arendaja sisuliselt maad ei kasuta, vaid teeb ainult lepingus kokkulepitud tegevusi. Kinnisasjade valdus jääb riigile või maa senisele kasutajale, kelle õigustega peab arendaja arvestama, kui arendusperioodi tegevused eeldavad ajutiselt maal viibimist või muid valdusõigust puudutavaid toiminguid. </w:t>
      </w:r>
    </w:p>
    <w:p w14:paraId="4BFCDA74" w14:textId="4DA7EE30" w:rsidR="00BC17BD" w:rsidRPr="00436E3F" w:rsidRDefault="00CD296A" w:rsidP="003E5039">
      <w:pPr>
        <w:pStyle w:val="Kehatekst"/>
        <w:tabs>
          <w:tab w:val="num" w:pos="0"/>
        </w:tabs>
        <w:spacing w:before="240" w:after="240"/>
        <w:jc w:val="both"/>
      </w:pPr>
      <w:r w:rsidRPr="00436E3F">
        <w:t>Arendusperioodiks sõlmitavas lepingus</w:t>
      </w:r>
      <w:r w:rsidR="00507D59" w:rsidRPr="00436E3F">
        <w:t xml:space="preserve"> </w:t>
      </w:r>
      <w:r w:rsidR="00981BAA" w:rsidRPr="00436E3F">
        <w:t xml:space="preserve">on kavas </w:t>
      </w:r>
      <w:r w:rsidR="00507D59" w:rsidRPr="00436E3F">
        <w:t>sätesta</w:t>
      </w:r>
      <w:r w:rsidR="00981BAA" w:rsidRPr="00436E3F">
        <w:t>da</w:t>
      </w:r>
      <w:r w:rsidR="001408BB" w:rsidRPr="00436E3F">
        <w:t xml:space="preserve"> vähemalt</w:t>
      </w:r>
      <w:r w:rsidR="007C5706" w:rsidRPr="00436E3F">
        <w:rPr>
          <w:lang w:eastAsia="et-EE"/>
        </w:rPr>
        <w:t xml:space="preserve"> </w:t>
      </w:r>
      <w:r w:rsidR="003F3045">
        <w:rPr>
          <w:lang w:eastAsia="et-EE"/>
        </w:rPr>
        <w:t xml:space="preserve">käesoleva seletuskirja lisas </w:t>
      </w:r>
      <w:r w:rsidR="00D06682" w:rsidRPr="003C2373">
        <w:t>„Taastuvenergia aladele sõlmitava hoonestusõiguse seadmise lepingu tingimused</w:t>
      </w:r>
      <w:r w:rsidR="00D06682">
        <w:t xml:space="preserve">“ </w:t>
      </w:r>
      <w:r w:rsidR="003F3045">
        <w:rPr>
          <w:lang w:eastAsia="et-EE"/>
        </w:rPr>
        <w:t>märgitud</w:t>
      </w:r>
      <w:r w:rsidR="007C5706" w:rsidRPr="00436E3F">
        <w:rPr>
          <w:lang w:eastAsia="et-EE"/>
        </w:rPr>
        <w:t xml:space="preserve"> </w:t>
      </w:r>
      <w:r w:rsidR="003A1904" w:rsidRPr="00436E3F">
        <w:rPr>
          <w:lang w:eastAsia="et-EE"/>
        </w:rPr>
        <w:t>kokkulepped</w:t>
      </w:r>
      <w:r w:rsidR="003F3045">
        <w:rPr>
          <w:lang w:eastAsia="et-EE"/>
        </w:rPr>
        <w:t xml:space="preserve">. </w:t>
      </w:r>
    </w:p>
    <w:p w14:paraId="32422986" w14:textId="4038A6C3" w:rsidR="001408BB" w:rsidRPr="00436E3F" w:rsidRDefault="001408BB" w:rsidP="003E5039">
      <w:pPr>
        <w:spacing w:before="240" w:after="240"/>
      </w:pPr>
      <w:r w:rsidRPr="00436E3F">
        <w:t xml:space="preserve">Arendusperioodi kokkulepe ja hoonestusõiguse tingimused sätestatakse täpsemalt riigivara valitseja </w:t>
      </w:r>
      <w:r w:rsidR="00AC16EA">
        <w:t>tehtavas</w:t>
      </w:r>
      <w:r w:rsidRPr="00436E3F">
        <w:t xml:space="preserve"> kinnisasjade kasutamiseks andmise otsuses ja hoonestusõiguse seadmise lepingutes</w:t>
      </w:r>
      <w:r w:rsidR="002C4C0C" w:rsidRPr="00436E3F">
        <w:t>, mille koostab tehingut tõestav notar.</w:t>
      </w:r>
    </w:p>
    <w:p w14:paraId="56F53CC3" w14:textId="37F87857" w:rsidR="00973817" w:rsidRPr="003E5039" w:rsidRDefault="002C1671" w:rsidP="00E92A25">
      <w:pPr>
        <w:pStyle w:val="Pealkiri1"/>
        <w:numPr>
          <w:ilvl w:val="0"/>
          <w:numId w:val="0"/>
        </w:numPr>
        <w:spacing w:before="360" w:after="240"/>
        <w:rPr>
          <w:rFonts w:cs="Times New Roman"/>
          <w:szCs w:val="24"/>
        </w:rPr>
      </w:pPr>
      <w:r>
        <w:rPr>
          <w:rFonts w:cs="Times New Roman"/>
          <w:szCs w:val="24"/>
        </w:rPr>
        <w:t xml:space="preserve">6. </w:t>
      </w:r>
      <w:r w:rsidR="009E02F4" w:rsidRPr="00436E3F">
        <w:rPr>
          <w:rFonts w:cs="Times New Roman"/>
          <w:szCs w:val="24"/>
        </w:rPr>
        <w:t>Sõlmitavast lepingust riigile tulenevad kulud</w:t>
      </w:r>
      <w:r w:rsidR="00E37E72" w:rsidRPr="00436E3F">
        <w:rPr>
          <w:rFonts w:cs="Times New Roman"/>
          <w:szCs w:val="24"/>
        </w:rPr>
        <w:t xml:space="preserve"> ja tulu</w:t>
      </w:r>
    </w:p>
    <w:p w14:paraId="7AF41910" w14:textId="3E433AF7" w:rsidR="00150624" w:rsidRDefault="00CA37D3" w:rsidP="003E5039">
      <w:pPr>
        <w:spacing w:before="240" w:after="240"/>
      </w:pPr>
      <w:r w:rsidRPr="00436E3F">
        <w:t>K</w:t>
      </w:r>
      <w:r w:rsidR="009E02F4" w:rsidRPr="00436E3F">
        <w:t>innisasjad antakse kasutamiseks turupõhise tasu eest</w:t>
      </w:r>
      <w:r w:rsidRPr="00436E3F">
        <w:t xml:space="preserve"> ja lepinguga kohustatakse enampakkumise võitjat kandma kõik taastuvenergia tootmise ettevalmistamise, ehitiste rajamise, käitamise ja likvideerimisega</w:t>
      </w:r>
      <w:r w:rsidR="00D961B2" w:rsidRPr="00436E3F">
        <w:t xml:space="preserve"> ning muud kinnisasjade valdamisega s</w:t>
      </w:r>
      <w:r w:rsidRPr="00436E3F">
        <w:t xml:space="preserve">eotud </w:t>
      </w:r>
      <w:r w:rsidR="00D961B2" w:rsidRPr="00436E3F">
        <w:t>otsesed ja kõrval</w:t>
      </w:r>
      <w:r w:rsidRPr="00436E3F">
        <w:t>kulud</w:t>
      </w:r>
      <w:r w:rsidR="00D961B2" w:rsidRPr="00436E3F">
        <w:t>.</w:t>
      </w:r>
      <w:r w:rsidRPr="00436E3F">
        <w:t xml:space="preserve"> Seega </w:t>
      </w:r>
      <w:r w:rsidR="009E02F4" w:rsidRPr="00436E3F">
        <w:t xml:space="preserve"> </w:t>
      </w:r>
      <w:r w:rsidRPr="00436E3F">
        <w:t xml:space="preserve">ei tulene </w:t>
      </w:r>
      <w:r w:rsidR="009E02F4" w:rsidRPr="00436E3F">
        <w:t xml:space="preserve">sõlmitavatest </w:t>
      </w:r>
      <w:r w:rsidRPr="00436E3F">
        <w:t>hoonestusõiguse l</w:t>
      </w:r>
      <w:r w:rsidR="009E02F4" w:rsidRPr="00436E3F">
        <w:t>epingutest riigile kulu</w:t>
      </w:r>
      <w:r w:rsidR="00281E3B">
        <w:t>, vaid laekub tulu turupõhise tasuna nii alade arendusperioodi kui hoonestusõiguse eest</w:t>
      </w:r>
      <w:r w:rsidR="009E02F4" w:rsidRPr="00436E3F">
        <w:t xml:space="preserve">. </w:t>
      </w:r>
    </w:p>
    <w:p w14:paraId="45901C8C" w14:textId="7C4D6FE4" w:rsidR="002D65CB" w:rsidRPr="002D65CB" w:rsidRDefault="002C1671" w:rsidP="00136EB8">
      <w:pPr>
        <w:pStyle w:val="Loendilik"/>
        <w:spacing w:before="360" w:after="240"/>
        <w:ind w:left="0"/>
        <w:rPr>
          <w:b/>
          <w:bCs/>
        </w:rPr>
      </w:pPr>
      <w:r>
        <w:rPr>
          <w:b/>
          <w:bCs/>
        </w:rPr>
        <w:t xml:space="preserve">7. </w:t>
      </w:r>
      <w:r w:rsidR="002D65CB" w:rsidRPr="002D65CB">
        <w:rPr>
          <w:b/>
          <w:bCs/>
        </w:rPr>
        <w:t>Riigivara kasuta</w:t>
      </w:r>
      <w:r w:rsidR="003E7838">
        <w:rPr>
          <w:b/>
          <w:bCs/>
        </w:rPr>
        <w:t>da</w:t>
      </w:r>
      <w:r w:rsidR="002D65CB" w:rsidRPr="002D65CB">
        <w:rPr>
          <w:b/>
          <w:bCs/>
        </w:rPr>
        <w:t xml:space="preserve"> andmise menetlus</w:t>
      </w:r>
    </w:p>
    <w:p w14:paraId="12DC065D" w14:textId="77777777" w:rsidR="002D65CB" w:rsidRDefault="002D65CB" w:rsidP="002D65CB">
      <w:pPr>
        <w:pStyle w:val="Loendilik"/>
        <w:spacing w:before="240" w:after="240"/>
        <w:ind w:left="426" w:hanging="284"/>
      </w:pPr>
    </w:p>
    <w:p w14:paraId="2415E721" w14:textId="153D11CD" w:rsidR="002D65CB" w:rsidRPr="00436E3F" w:rsidRDefault="002D65CB" w:rsidP="002D65CB">
      <w:pPr>
        <w:pStyle w:val="Loendilik"/>
        <w:spacing w:before="240" w:after="240"/>
        <w:ind w:left="0"/>
      </w:pPr>
      <w:r>
        <w:t>Kinnisasjade kasuta</w:t>
      </w:r>
      <w:r w:rsidR="00323B20">
        <w:t>da</w:t>
      </w:r>
      <w:r>
        <w:t xml:space="preserve"> andmisega seoses on riigi kinnisvararegistris algatatud menetlused nr</w:t>
      </w:r>
      <w:r w:rsidR="00323B20">
        <w:t> </w:t>
      </w:r>
      <w:r w:rsidRPr="002D65CB">
        <w:t>26-6532, 26-6529, 26-6523, 26-6528</w:t>
      </w:r>
      <w:r w:rsidR="00323B20">
        <w:t>, kuhu on lisatud menetluse dokumendid.</w:t>
      </w:r>
    </w:p>
    <w:p w14:paraId="02F6F47C" w14:textId="16451713" w:rsidR="00150624" w:rsidRDefault="00016498" w:rsidP="003E5039">
      <w:pPr>
        <w:spacing w:before="240" w:after="240"/>
      </w:pPr>
      <w:r w:rsidRPr="00436E3F">
        <w:t>Eelnõu ja seletuskirja koostas</w:t>
      </w:r>
      <w:r w:rsidR="009C3D47">
        <w:t>id</w:t>
      </w:r>
      <w:r w:rsidRPr="00436E3F">
        <w:t xml:space="preserve"> </w:t>
      </w:r>
      <w:r w:rsidRPr="002579B8">
        <w:t>Maa-</w:t>
      </w:r>
      <w:r w:rsidR="002579B8" w:rsidRPr="002579B8">
        <w:t xml:space="preserve"> ja Ruumi</w:t>
      </w:r>
      <w:r w:rsidRPr="002579B8">
        <w:t xml:space="preserve">ameti </w:t>
      </w:r>
      <w:r w:rsidR="00866DEF">
        <w:t>m</w:t>
      </w:r>
      <w:r w:rsidR="00866DEF" w:rsidRPr="00866DEF">
        <w:t>aa tehingute ja toimingute osakon</w:t>
      </w:r>
      <w:r w:rsidR="00866DEF">
        <w:t xml:space="preserve">na nõunik Tiina Vooro (5698 0664, </w:t>
      </w:r>
      <w:r w:rsidR="008F2A5F" w:rsidRPr="008F2A5F">
        <w:t>Tiina.Vooro@maaruum.ee</w:t>
      </w:r>
      <w:r w:rsidR="00866DEF">
        <w:t xml:space="preserve">) </w:t>
      </w:r>
      <w:r w:rsidR="002579B8" w:rsidRPr="002579B8">
        <w:t>maade võõrandamise ja kasutusse andmise büroo</w:t>
      </w:r>
      <w:r w:rsidRPr="002579B8">
        <w:t xml:space="preserve"> juhataja </w:t>
      </w:r>
      <w:r w:rsidR="002579B8" w:rsidRPr="002579B8">
        <w:t>Katri Värv</w:t>
      </w:r>
      <w:r w:rsidRPr="002579B8">
        <w:t xml:space="preserve"> (</w:t>
      </w:r>
      <w:r w:rsidR="002579B8" w:rsidRPr="002579B8">
        <w:t>5918 5589</w:t>
      </w:r>
      <w:r w:rsidRPr="002579B8">
        <w:t xml:space="preserve">, </w:t>
      </w:r>
      <w:hyperlink r:id="rId5" w:history="1">
        <w:r w:rsidR="009C3D47" w:rsidRPr="006567FB">
          <w:rPr>
            <w:rStyle w:val="Hperlink"/>
            <w:color w:val="auto"/>
            <w:u w:val="none"/>
          </w:rPr>
          <w:t>Katri.Varv@maaruum.ee</w:t>
        </w:r>
      </w:hyperlink>
      <w:r w:rsidR="002579B8" w:rsidRPr="006567FB">
        <w:t>)</w:t>
      </w:r>
      <w:r w:rsidR="009C3D47" w:rsidRPr="006567FB">
        <w:rPr>
          <w:rStyle w:val="Hperlink"/>
          <w:color w:val="auto"/>
          <w:u w:val="none"/>
        </w:rPr>
        <w:t xml:space="preserve"> ning Majandus- ja Kommunikatsiooniministeeriumi maa- ja </w:t>
      </w:r>
      <w:r w:rsidR="009F5CA7" w:rsidRPr="006567FB">
        <w:rPr>
          <w:rStyle w:val="Hperlink"/>
          <w:color w:val="auto"/>
          <w:u w:val="none"/>
        </w:rPr>
        <w:t>ruumipoliitika osakonna maapoliitika õigusnõunik Eike Pärnamägi</w:t>
      </w:r>
      <w:r w:rsidR="006567FB" w:rsidRPr="006567FB">
        <w:rPr>
          <w:rStyle w:val="Hperlink"/>
          <w:color w:val="auto"/>
          <w:u w:val="none"/>
        </w:rPr>
        <w:t xml:space="preserve"> (5343</w:t>
      </w:r>
      <w:r w:rsidR="005218E8">
        <w:rPr>
          <w:rStyle w:val="Hperlink"/>
          <w:color w:val="auto"/>
          <w:u w:val="none"/>
        </w:rPr>
        <w:t xml:space="preserve"> </w:t>
      </w:r>
      <w:r w:rsidR="006567FB" w:rsidRPr="006567FB">
        <w:rPr>
          <w:rStyle w:val="Hperlink"/>
          <w:color w:val="auto"/>
          <w:u w:val="none"/>
        </w:rPr>
        <w:t>7818, Eike.Parnamagi@mkm.ee).</w:t>
      </w:r>
    </w:p>
    <w:p w14:paraId="243E29B2" w14:textId="77777777" w:rsidR="00BE27D1" w:rsidRDefault="00BE27D1" w:rsidP="00016498"/>
    <w:p w14:paraId="57A3F93D" w14:textId="5008781E" w:rsidR="008060B2" w:rsidRPr="003E5039" w:rsidRDefault="00BE27D1" w:rsidP="003E5039">
      <w:pPr>
        <w:spacing w:before="120" w:after="120"/>
        <w:rPr>
          <w:i/>
          <w:iCs/>
        </w:rPr>
      </w:pPr>
      <w:r w:rsidRPr="003E5039">
        <w:rPr>
          <w:i/>
          <w:iCs/>
        </w:rPr>
        <w:t>(allkirjastatud digitaalselt)</w:t>
      </w:r>
    </w:p>
    <w:p w14:paraId="1C89EA51" w14:textId="55A9E921" w:rsidR="006F574A" w:rsidRPr="00436E3F" w:rsidRDefault="006F574A" w:rsidP="00016498">
      <w:r>
        <w:t>Erkki Keldo</w:t>
      </w:r>
    </w:p>
    <w:p w14:paraId="06B78D0E" w14:textId="6E357ED2" w:rsidR="00150624" w:rsidRDefault="00BE27D1" w:rsidP="00016498">
      <w:r>
        <w:t>Majandus- ja tööstusm</w:t>
      </w:r>
      <w:r w:rsidR="008060B2" w:rsidRPr="00436E3F">
        <w:t>inister</w:t>
      </w:r>
    </w:p>
    <w:sectPr w:rsidR="00150624" w:rsidSect="003E5039">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58F"/>
    <w:multiLevelType w:val="hybridMultilevel"/>
    <w:tmpl w:val="FFFFFFFF"/>
    <w:lvl w:ilvl="0" w:tplc="04250011">
      <w:start w:val="1"/>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1" w15:restartNumberingAfterBreak="0">
    <w:nsid w:val="14997850"/>
    <w:multiLevelType w:val="hybridMultilevel"/>
    <w:tmpl w:val="B51EB7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DD0493"/>
    <w:multiLevelType w:val="multilevel"/>
    <w:tmpl w:val="48540F98"/>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931"/>
        </w:tabs>
        <w:ind w:left="1931" w:hanging="360"/>
      </w:pPr>
      <w:rPr>
        <w:rFonts w:ascii="Courier New" w:hAnsi="Courier New" w:cs="Times New Roman"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20005418"/>
    <w:multiLevelType w:val="multilevel"/>
    <w:tmpl w:val="DA44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84E2C"/>
    <w:multiLevelType w:val="hybridMultilevel"/>
    <w:tmpl w:val="AB1CC1B2"/>
    <w:lvl w:ilvl="0" w:tplc="990E47A6">
      <w:start w:val="1"/>
      <w:numFmt w:val="decimal"/>
      <w:pStyle w:val="Pealkiri2"/>
      <w:lvlText w:val="3.%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EA532BE"/>
    <w:multiLevelType w:val="hybridMultilevel"/>
    <w:tmpl w:val="A478267E"/>
    <w:lvl w:ilvl="0" w:tplc="04250011">
      <w:start w:val="1"/>
      <w:numFmt w:val="decimal"/>
      <w:lvlText w:val="%1)"/>
      <w:lvlJc w:val="left"/>
      <w:pPr>
        <w:ind w:left="720" w:hanging="360"/>
      </w:pPr>
    </w:lvl>
    <w:lvl w:ilvl="1" w:tplc="21309062">
      <w:start w:val="1"/>
      <w:numFmt w:val="decimal"/>
      <w:lvlText w:val="%2)"/>
      <w:lvlJc w:val="left"/>
      <w:pPr>
        <w:ind w:left="1440" w:hanging="360"/>
      </w:pPr>
      <w:rPr>
        <w:rFonts w:ascii="Times New Roman" w:eastAsiaTheme="majorEastAsia" w:hAnsi="Times New Roman" w:cs="Times New Roman"/>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FCA046B"/>
    <w:multiLevelType w:val="hybridMultilevel"/>
    <w:tmpl w:val="254080AC"/>
    <w:lvl w:ilvl="0" w:tplc="FFFFFFFF">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F26524"/>
    <w:multiLevelType w:val="hybridMultilevel"/>
    <w:tmpl w:val="D2E8CEEC"/>
    <w:lvl w:ilvl="0" w:tplc="0425000F">
      <w:start w:val="1"/>
      <w:numFmt w:val="decimal"/>
      <w:lvlText w:val="%1."/>
      <w:lvlJc w:val="left"/>
      <w:pPr>
        <w:ind w:left="36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2FD2BB0"/>
    <w:multiLevelType w:val="hybridMultilevel"/>
    <w:tmpl w:val="94C0193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7A42CDB"/>
    <w:multiLevelType w:val="hybridMultilevel"/>
    <w:tmpl w:val="6EF87972"/>
    <w:lvl w:ilvl="0" w:tplc="91C845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023BA4"/>
    <w:multiLevelType w:val="hybridMultilevel"/>
    <w:tmpl w:val="2FDA250A"/>
    <w:lvl w:ilvl="0" w:tplc="04250001">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1AA226C"/>
    <w:multiLevelType w:val="multilevel"/>
    <w:tmpl w:val="D6DC5B0A"/>
    <w:lvl w:ilvl="0">
      <w:start w:val="1"/>
      <w:numFmt w:val="decimal"/>
      <w:pStyle w:val="Pealkiri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42547A"/>
    <w:multiLevelType w:val="multilevel"/>
    <w:tmpl w:val="43C6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B7CD5"/>
    <w:multiLevelType w:val="hybridMultilevel"/>
    <w:tmpl w:val="706AF1F2"/>
    <w:lvl w:ilvl="0" w:tplc="76AC095E">
      <w:start w:val="1"/>
      <w:numFmt w:val="decimal"/>
      <w:lvlText w:val="%1."/>
      <w:lvlJc w:val="left"/>
      <w:pPr>
        <w:tabs>
          <w:tab w:val="num" w:pos="720"/>
        </w:tabs>
        <w:ind w:left="720" w:hanging="360"/>
      </w:pPr>
      <w:rPr>
        <w:rFonts w:ascii="Times New Roman" w:hAnsi="Times New Roman" w:cs="Times New Roman"/>
        <w:b w:val="0"/>
        <w:bCs w:val="0"/>
      </w:rPr>
    </w:lvl>
    <w:lvl w:ilvl="1" w:tplc="04250019">
      <w:start w:val="1"/>
      <w:numFmt w:val="lowerLetter"/>
      <w:lvlText w:val="%2."/>
      <w:lvlJc w:val="left"/>
      <w:pPr>
        <w:tabs>
          <w:tab w:val="num" w:pos="1440"/>
        </w:tabs>
        <w:ind w:left="1440" w:hanging="360"/>
      </w:pPr>
      <w:rPr>
        <w:rFonts w:ascii="Times New Roman" w:hAnsi="Times New Roman" w:cs="Times New Roman"/>
      </w:rPr>
    </w:lvl>
    <w:lvl w:ilvl="2" w:tplc="0425001B">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07502E2"/>
    <w:multiLevelType w:val="multilevel"/>
    <w:tmpl w:val="89AAB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819F0"/>
    <w:multiLevelType w:val="hybridMultilevel"/>
    <w:tmpl w:val="32FC591A"/>
    <w:lvl w:ilvl="0" w:tplc="FFFFFFFF">
      <w:start w:val="1"/>
      <w:numFmt w:val="bullet"/>
      <w:lvlText w:val=""/>
      <w:lvlJc w:val="left"/>
      <w:pPr>
        <w:ind w:left="720" w:hanging="360"/>
      </w:pPr>
      <w:rPr>
        <w:rFonts w:ascii="Symbol" w:hAnsi="Symbol" w:hint="default"/>
      </w:rPr>
    </w:lvl>
    <w:lvl w:ilvl="1" w:tplc="C1A43EDC">
      <w:start w:val="1"/>
      <w:numFmt w:val="decimal"/>
      <w:lvlText w:val="4.%2"/>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F95D84"/>
    <w:multiLevelType w:val="multilevel"/>
    <w:tmpl w:val="ACAA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64A44"/>
    <w:multiLevelType w:val="multilevel"/>
    <w:tmpl w:val="AE963BF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607EF3"/>
    <w:multiLevelType w:val="hybridMultilevel"/>
    <w:tmpl w:val="CC86E1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74617170">
    <w:abstractNumId w:val="13"/>
  </w:num>
  <w:num w:numId="2" w16cid:durableId="301204474">
    <w:abstractNumId w:val="17"/>
  </w:num>
  <w:num w:numId="3" w16cid:durableId="882521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205785">
    <w:abstractNumId w:val="0"/>
  </w:num>
  <w:num w:numId="5" w16cid:durableId="1728650503">
    <w:abstractNumId w:val="10"/>
  </w:num>
  <w:num w:numId="6" w16cid:durableId="1241594553">
    <w:abstractNumId w:val="1"/>
  </w:num>
  <w:num w:numId="7" w16cid:durableId="1413429441">
    <w:abstractNumId w:val="15"/>
  </w:num>
  <w:num w:numId="8" w16cid:durableId="911698097">
    <w:abstractNumId w:val="6"/>
  </w:num>
  <w:num w:numId="9" w16cid:durableId="66155230">
    <w:abstractNumId w:val="12"/>
  </w:num>
  <w:num w:numId="10" w16cid:durableId="944265643">
    <w:abstractNumId w:val="3"/>
  </w:num>
  <w:num w:numId="11" w16cid:durableId="87584392">
    <w:abstractNumId w:val="14"/>
  </w:num>
  <w:num w:numId="12" w16cid:durableId="1141921395">
    <w:abstractNumId w:val="16"/>
  </w:num>
  <w:num w:numId="13" w16cid:durableId="1817918867">
    <w:abstractNumId w:val="2"/>
  </w:num>
  <w:num w:numId="14" w16cid:durableId="1393963813">
    <w:abstractNumId w:val="9"/>
  </w:num>
  <w:num w:numId="15" w16cid:durableId="1873230025">
    <w:abstractNumId w:val="4"/>
  </w:num>
  <w:num w:numId="16" w16cid:durableId="1824151436">
    <w:abstractNumId w:val="11"/>
  </w:num>
  <w:num w:numId="17" w16cid:durableId="409347193">
    <w:abstractNumId w:val="7"/>
  </w:num>
  <w:num w:numId="18" w16cid:durableId="771824576">
    <w:abstractNumId w:val="8"/>
  </w:num>
  <w:num w:numId="19" w16cid:durableId="1909732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6"/>
    <w:rsid w:val="00004E72"/>
    <w:rsid w:val="00016498"/>
    <w:rsid w:val="0001725F"/>
    <w:rsid w:val="00040FC8"/>
    <w:rsid w:val="000430D5"/>
    <w:rsid w:val="00051B31"/>
    <w:rsid w:val="00057EAF"/>
    <w:rsid w:val="00060623"/>
    <w:rsid w:val="00066BCB"/>
    <w:rsid w:val="000873F1"/>
    <w:rsid w:val="00087700"/>
    <w:rsid w:val="000960B9"/>
    <w:rsid w:val="000A0327"/>
    <w:rsid w:val="000A6281"/>
    <w:rsid w:val="000B6B6A"/>
    <w:rsid w:val="000C7F48"/>
    <w:rsid w:val="000D7E11"/>
    <w:rsid w:val="000E049A"/>
    <w:rsid w:val="000E65EC"/>
    <w:rsid w:val="000F4F2A"/>
    <w:rsid w:val="000F5E59"/>
    <w:rsid w:val="00102272"/>
    <w:rsid w:val="00113A4A"/>
    <w:rsid w:val="00113F8A"/>
    <w:rsid w:val="00115B6B"/>
    <w:rsid w:val="00133F4A"/>
    <w:rsid w:val="00136EB8"/>
    <w:rsid w:val="00136EC8"/>
    <w:rsid w:val="001408BB"/>
    <w:rsid w:val="00145DDA"/>
    <w:rsid w:val="00147F61"/>
    <w:rsid w:val="00150624"/>
    <w:rsid w:val="0016056C"/>
    <w:rsid w:val="00160B54"/>
    <w:rsid w:val="001644DA"/>
    <w:rsid w:val="00166BD7"/>
    <w:rsid w:val="001672D5"/>
    <w:rsid w:val="001721FA"/>
    <w:rsid w:val="0018707C"/>
    <w:rsid w:val="001934F4"/>
    <w:rsid w:val="001A2B15"/>
    <w:rsid w:val="001B5B88"/>
    <w:rsid w:val="001D0B5B"/>
    <w:rsid w:val="001D0EC9"/>
    <w:rsid w:val="001D790C"/>
    <w:rsid w:val="001E1D37"/>
    <w:rsid w:val="001F0DF7"/>
    <w:rsid w:val="001F187B"/>
    <w:rsid w:val="001F202C"/>
    <w:rsid w:val="00203E3C"/>
    <w:rsid w:val="00210D65"/>
    <w:rsid w:val="00210EA4"/>
    <w:rsid w:val="00220341"/>
    <w:rsid w:val="002204E7"/>
    <w:rsid w:val="00222D0F"/>
    <w:rsid w:val="002249EB"/>
    <w:rsid w:val="00226F3B"/>
    <w:rsid w:val="00251114"/>
    <w:rsid w:val="00254D85"/>
    <w:rsid w:val="00255BEA"/>
    <w:rsid w:val="002579B8"/>
    <w:rsid w:val="002713F5"/>
    <w:rsid w:val="00281E3B"/>
    <w:rsid w:val="002848DF"/>
    <w:rsid w:val="002940BF"/>
    <w:rsid w:val="002A022A"/>
    <w:rsid w:val="002A2EAB"/>
    <w:rsid w:val="002B1DA9"/>
    <w:rsid w:val="002C1671"/>
    <w:rsid w:val="002C4C0C"/>
    <w:rsid w:val="002D0162"/>
    <w:rsid w:val="002D65CB"/>
    <w:rsid w:val="002E6BB8"/>
    <w:rsid w:val="00307D16"/>
    <w:rsid w:val="00314A40"/>
    <w:rsid w:val="00323B20"/>
    <w:rsid w:val="003243B7"/>
    <w:rsid w:val="00326129"/>
    <w:rsid w:val="00346EE4"/>
    <w:rsid w:val="00350F00"/>
    <w:rsid w:val="003661A3"/>
    <w:rsid w:val="00383E6D"/>
    <w:rsid w:val="003842A6"/>
    <w:rsid w:val="0038614C"/>
    <w:rsid w:val="003A10A4"/>
    <w:rsid w:val="003A1904"/>
    <w:rsid w:val="003A463F"/>
    <w:rsid w:val="003C78F1"/>
    <w:rsid w:val="003D407E"/>
    <w:rsid w:val="003E16C0"/>
    <w:rsid w:val="003E459C"/>
    <w:rsid w:val="003E5039"/>
    <w:rsid w:val="003E7838"/>
    <w:rsid w:val="003F3045"/>
    <w:rsid w:val="003F6DA8"/>
    <w:rsid w:val="004109E9"/>
    <w:rsid w:val="00425F1C"/>
    <w:rsid w:val="00436E3F"/>
    <w:rsid w:val="004403EE"/>
    <w:rsid w:val="0045019D"/>
    <w:rsid w:val="004720D2"/>
    <w:rsid w:val="0047489F"/>
    <w:rsid w:val="004A3C2F"/>
    <w:rsid w:val="004D77EB"/>
    <w:rsid w:val="004F03A7"/>
    <w:rsid w:val="00507D59"/>
    <w:rsid w:val="005218E8"/>
    <w:rsid w:val="00533C68"/>
    <w:rsid w:val="005370DC"/>
    <w:rsid w:val="00554489"/>
    <w:rsid w:val="005649D0"/>
    <w:rsid w:val="00565632"/>
    <w:rsid w:val="00565FBD"/>
    <w:rsid w:val="0058097F"/>
    <w:rsid w:val="005A5C20"/>
    <w:rsid w:val="005B0323"/>
    <w:rsid w:val="005B0DFE"/>
    <w:rsid w:val="005B3670"/>
    <w:rsid w:val="005E584F"/>
    <w:rsid w:val="0060033D"/>
    <w:rsid w:val="00601600"/>
    <w:rsid w:val="006038BB"/>
    <w:rsid w:val="00622824"/>
    <w:rsid w:val="006414E3"/>
    <w:rsid w:val="006441A2"/>
    <w:rsid w:val="006567FB"/>
    <w:rsid w:val="00661F04"/>
    <w:rsid w:val="006650DB"/>
    <w:rsid w:val="00670ECB"/>
    <w:rsid w:val="0067388E"/>
    <w:rsid w:val="00674F15"/>
    <w:rsid w:val="00685311"/>
    <w:rsid w:val="00696AF4"/>
    <w:rsid w:val="006B2A31"/>
    <w:rsid w:val="006C3D1E"/>
    <w:rsid w:val="006D73B7"/>
    <w:rsid w:val="006E6049"/>
    <w:rsid w:val="006F2169"/>
    <w:rsid w:val="006F3652"/>
    <w:rsid w:val="006F574A"/>
    <w:rsid w:val="00703D27"/>
    <w:rsid w:val="00705242"/>
    <w:rsid w:val="007120C5"/>
    <w:rsid w:val="007805B2"/>
    <w:rsid w:val="00783378"/>
    <w:rsid w:val="007B56CA"/>
    <w:rsid w:val="007B596D"/>
    <w:rsid w:val="007B6001"/>
    <w:rsid w:val="007C5706"/>
    <w:rsid w:val="007D2D24"/>
    <w:rsid w:val="007E0639"/>
    <w:rsid w:val="007F78DF"/>
    <w:rsid w:val="008060B2"/>
    <w:rsid w:val="00821EEE"/>
    <w:rsid w:val="0082482F"/>
    <w:rsid w:val="008268FF"/>
    <w:rsid w:val="00827F98"/>
    <w:rsid w:val="008323C7"/>
    <w:rsid w:val="00865F16"/>
    <w:rsid w:val="00866DEF"/>
    <w:rsid w:val="00870527"/>
    <w:rsid w:val="00873B46"/>
    <w:rsid w:val="00890A67"/>
    <w:rsid w:val="00892349"/>
    <w:rsid w:val="00894917"/>
    <w:rsid w:val="00894C14"/>
    <w:rsid w:val="00896EC3"/>
    <w:rsid w:val="00896FDF"/>
    <w:rsid w:val="008B1251"/>
    <w:rsid w:val="008B1E96"/>
    <w:rsid w:val="008C0DBC"/>
    <w:rsid w:val="008C5BDE"/>
    <w:rsid w:val="008D44E2"/>
    <w:rsid w:val="008D4CC7"/>
    <w:rsid w:val="008E1218"/>
    <w:rsid w:val="008F2A5F"/>
    <w:rsid w:val="00946170"/>
    <w:rsid w:val="00971343"/>
    <w:rsid w:val="009717BD"/>
    <w:rsid w:val="00973817"/>
    <w:rsid w:val="00973F42"/>
    <w:rsid w:val="009811E9"/>
    <w:rsid w:val="00981BAA"/>
    <w:rsid w:val="00991C57"/>
    <w:rsid w:val="009A0679"/>
    <w:rsid w:val="009B19C0"/>
    <w:rsid w:val="009B4835"/>
    <w:rsid w:val="009B6B1E"/>
    <w:rsid w:val="009C3D47"/>
    <w:rsid w:val="009C7884"/>
    <w:rsid w:val="009E02F4"/>
    <w:rsid w:val="009E250B"/>
    <w:rsid w:val="009E25C3"/>
    <w:rsid w:val="009F045F"/>
    <w:rsid w:val="009F0E4D"/>
    <w:rsid w:val="009F36B0"/>
    <w:rsid w:val="009F516A"/>
    <w:rsid w:val="009F5CA7"/>
    <w:rsid w:val="009F6EBB"/>
    <w:rsid w:val="00A149F7"/>
    <w:rsid w:val="00A239FF"/>
    <w:rsid w:val="00A2637F"/>
    <w:rsid w:val="00A267AA"/>
    <w:rsid w:val="00A27625"/>
    <w:rsid w:val="00A735BB"/>
    <w:rsid w:val="00A80363"/>
    <w:rsid w:val="00A84394"/>
    <w:rsid w:val="00A8595F"/>
    <w:rsid w:val="00A9471C"/>
    <w:rsid w:val="00A9648B"/>
    <w:rsid w:val="00AA13D6"/>
    <w:rsid w:val="00AA5553"/>
    <w:rsid w:val="00AA609E"/>
    <w:rsid w:val="00AB171C"/>
    <w:rsid w:val="00AC16EA"/>
    <w:rsid w:val="00AD1666"/>
    <w:rsid w:val="00AE52A8"/>
    <w:rsid w:val="00AF0E64"/>
    <w:rsid w:val="00AF55D0"/>
    <w:rsid w:val="00AF5BF2"/>
    <w:rsid w:val="00B2000D"/>
    <w:rsid w:val="00B34C91"/>
    <w:rsid w:val="00B353F5"/>
    <w:rsid w:val="00B36643"/>
    <w:rsid w:val="00B413C5"/>
    <w:rsid w:val="00B433ED"/>
    <w:rsid w:val="00B5442F"/>
    <w:rsid w:val="00B65303"/>
    <w:rsid w:val="00B70C7F"/>
    <w:rsid w:val="00B759B6"/>
    <w:rsid w:val="00B90E9B"/>
    <w:rsid w:val="00B925C2"/>
    <w:rsid w:val="00BB200C"/>
    <w:rsid w:val="00BB6CD4"/>
    <w:rsid w:val="00BB71DB"/>
    <w:rsid w:val="00BC17BD"/>
    <w:rsid w:val="00BC7693"/>
    <w:rsid w:val="00BE27D1"/>
    <w:rsid w:val="00BF0052"/>
    <w:rsid w:val="00BF01C4"/>
    <w:rsid w:val="00C04C74"/>
    <w:rsid w:val="00C1670B"/>
    <w:rsid w:val="00C21DCA"/>
    <w:rsid w:val="00C24AAC"/>
    <w:rsid w:val="00C44449"/>
    <w:rsid w:val="00C65AA9"/>
    <w:rsid w:val="00C7364C"/>
    <w:rsid w:val="00C74867"/>
    <w:rsid w:val="00C74BEB"/>
    <w:rsid w:val="00C85973"/>
    <w:rsid w:val="00C91DC2"/>
    <w:rsid w:val="00C93752"/>
    <w:rsid w:val="00CA1AD8"/>
    <w:rsid w:val="00CA23D9"/>
    <w:rsid w:val="00CA37D3"/>
    <w:rsid w:val="00CA4612"/>
    <w:rsid w:val="00CA63A1"/>
    <w:rsid w:val="00CB20EE"/>
    <w:rsid w:val="00CC062D"/>
    <w:rsid w:val="00CC31FF"/>
    <w:rsid w:val="00CD296A"/>
    <w:rsid w:val="00CE0DE6"/>
    <w:rsid w:val="00CE3F16"/>
    <w:rsid w:val="00CE5C36"/>
    <w:rsid w:val="00CF53BC"/>
    <w:rsid w:val="00D0368B"/>
    <w:rsid w:val="00D06682"/>
    <w:rsid w:val="00D10D33"/>
    <w:rsid w:val="00D31ADC"/>
    <w:rsid w:val="00D409C2"/>
    <w:rsid w:val="00D40A1E"/>
    <w:rsid w:val="00D50DE7"/>
    <w:rsid w:val="00D53525"/>
    <w:rsid w:val="00D538A7"/>
    <w:rsid w:val="00D62531"/>
    <w:rsid w:val="00D6290C"/>
    <w:rsid w:val="00D746F3"/>
    <w:rsid w:val="00D84C14"/>
    <w:rsid w:val="00D92318"/>
    <w:rsid w:val="00D92703"/>
    <w:rsid w:val="00D92A74"/>
    <w:rsid w:val="00D961B2"/>
    <w:rsid w:val="00DA7C1D"/>
    <w:rsid w:val="00DB2BD2"/>
    <w:rsid w:val="00DB2C04"/>
    <w:rsid w:val="00DB5C21"/>
    <w:rsid w:val="00DD04D6"/>
    <w:rsid w:val="00DE2B86"/>
    <w:rsid w:val="00DE325B"/>
    <w:rsid w:val="00DE393C"/>
    <w:rsid w:val="00E053DA"/>
    <w:rsid w:val="00E11C5E"/>
    <w:rsid w:val="00E2235E"/>
    <w:rsid w:val="00E25751"/>
    <w:rsid w:val="00E336FA"/>
    <w:rsid w:val="00E37E72"/>
    <w:rsid w:val="00E45D4C"/>
    <w:rsid w:val="00E47A5F"/>
    <w:rsid w:val="00E500AA"/>
    <w:rsid w:val="00E55FA2"/>
    <w:rsid w:val="00E57D74"/>
    <w:rsid w:val="00E72886"/>
    <w:rsid w:val="00E92A25"/>
    <w:rsid w:val="00E94C23"/>
    <w:rsid w:val="00EA18C0"/>
    <w:rsid w:val="00EA566E"/>
    <w:rsid w:val="00ED2410"/>
    <w:rsid w:val="00ED27F5"/>
    <w:rsid w:val="00ED77B4"/>
    <w:rsid w:val="00EF5385"/>
    <w:rsid w:val="00F034C1"/>
    <w:rsid w:val="00F11F34"/>
    <w:rsid w:val="00F20E59"/>
    <w:rsid w:val="00F236DD"/>
    <w:rsid w:val="00F45469"/>
    <w:rsid w:val="00F5717B"/>
    <w:rsid w:val="00F7785E"/>
    <w:rsid w:val="00F834C1"/>
    <w:rsid w:val="00F97F4C"/>
    <w:rsid w:val="00FA6339"/>
    <w:rsid w:val="00FD53ED"/>
    <w:rsid w:val="00FD66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719E"/>
  <w15:chartTrackingRefBased/>
  <w15:docId w15:val="{711E340A-FF0D-4A7A-9296-91B05EE8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5706"/>
    <w:pPr>
      <w:spacing w:after="0"/>
      <w:ind w:left="0" w:firstLine="0"/>
      <w:jc w:val="both"/>
    </w:pPr>
  </w:style>
  <w:style w:type="paragraph" w:styleId="Pealkiri1">
    <w:name w:val="heading 1"/>
    <w:basedOn w:val="Normaallaad"/>
    <w:next w:val="Normaallaad"/>
    <w:link w:val="Pealkiri1Mrk"/>
    <w:uiPriority w:val="9"/>
    <w:qFormat/>
    <w:rsid w:val="00B5442F"/>
    <w:pPr>
      <w:keepNext/>
      <w:keepLines/>
      <w:numPr>
        <w:numId w:val="16"/>
      </w:numPr>
      <w:spacing w:before="240"/>
      <w:outlineLvl w:val="0"/>
    </w:pPr>
    <w:rPr>
      <w:rFonts w:eastAsiaTheme="majorEastAsia" w:cstheme="majorBidi"/>
      <w:b/>
      <w:szCs w:val="32"/>
    </w:rPr>
  </w:style>
  <w:style w:type="paragraph" w:styleId="Pealkiri2">
    <w:name w:val="heading 2"/>
    <w:basedOn w:val="Normaallaad"/>
    <w:next w:val="Normaallaad"/>
    <w:link w:val="Pealkiri2Mrk"/>
    <w:uiPriority w:val="9"/>
    <w:unhideWhenUsed/>
    <w:qFormat/>
    <w:rsid w:val="009F36B0"/>
    <w:pPr>
      <w:keepNext/>
      <w:keepLines/>
      <w:numPr>
        <w:numId w:val="15"/>
      </w:numPr>
      <w:spacing w:before="40"/>
      <w:outlineLvl w:val="1"/>
    </w:pPr>
    <w:rPr>
      <w:rFonts w:eastAsiaTheme="majorEastAsia" w:cstheme="majorBidi"/>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C5706"/>
    <w:pPr>
      <w:ind w:left="720"/>
      <w:contextualSpacing/>
    </w:pPr>
  </w:style>
  <w:style w:type="paragraph" w:styleId="Kehatekst2">
    <w:name w:val="Body Text 2"/>
    <w:basedOn w:val="Normaallaad"/>
    <w:link w:val="Kehatekst2Mrk"/>
    <w:uiPriority w:val="99"/>
    <w:rsid w:val="002249EB"/>
    <w:rPr>
      <w:sz w:val="22"/>
      <w:szCs w:val="22"/>
    </w:rPr>
  </w:style>
  <w:style w:type="character" w:customStyle="1" w:styleId="Kehatekst2Mrk">
    <w:name w:val="Kehatekst 2 Märk"/>
    <w:basedOn w:val="Liguvaikefont"/>
    <w:link w:val="Kehatekst2"/>
    <w:uiPriority w:val="99"/>
    <w:rsid w:val="002249EB"/>
    <w:rPr>
      <w:rFonts w:ascii="Times New Roman" w:eastAsia="Times New Roman" w:hAnsi="Times New Roman" w:cs="Times New Roman"/>
      <w:kern w:val="0"/>
      <w14:ligatures w14:val="none"/>
    </w:rPr>
  </w:style>
  <w:style w:type="paragraph" w:styleId="Kehatekst">
    <w:name w:val="Body Text"/>
    <w:basedOn w:val="Normaallaad"/>
    <w:link w:val="KehatekstMrk"/>
    <w:uiPriority w:val="99"/>
    <w:rsid w:val="002249EB"/>
    <w:pPr>
      <w:spacing w:after="120"/>
      <w:jc w:val="left"/>
    </w:pPr>
  </w:style>
  <w:style w:type="character" w:customStyle="1" w:styleId="KehatekstMrk">
    <w:name w:val="Kehatekst Märk"/>
    <w:basedOn w:val="Liguvaikefont"/>
    <w:link w:val="Kehatekst"/>
    <w:uiPriority w:val="99"/>
    <w:rsid w:val="002249EB"/>
    <w:rPr>
      <w:rFonts w:ascii="Times New Roman" w:eastAsia="Times New Roman" w:hAnsi="Times New Roman" w:cs="Times New Roman"/>
      <w:kern w:val="0"/>
      <w:sz w:val="24"/>
      <w:szCs w:val="24"/>
      <w14:ligatures w14:val="none"/>
    </w:rPr>
  </w:style>
  <w:style w:type="character" w:styleId="Hperlink">
    <w:name w:val="Hyperlink"/>
    <w:basedOn w:val="Liguvaikefont"/>
    <w:uiPriority w:val="99"/>
    <w:unhideWhenUsed/>
    <w:rsid w:val="00150624"/>
    <w:rPr>
      <w:color w:val="0563C1" w:themeColor="hyperlink"/>
      <w:u w:val="single"/>
    </w:rPr>
  </w:style>
  <w:style w:type="character" w:styleId="Lahendamatamainimine">
    <w:name w:val="Unresolved Mention"/>
    <w:basedOn w:val="Liguvaikefont"/>
    <w:uiPriority w:val="99"/>
    <w:semiHidden/>
    <w:unhideWhenUsed/>
    <w:rsid w:val="00150624"/>
    <w:rPr>
      <w:color w:val="605E5C"/>
      <w:shd w:val="clear" w:color="auto" w:fill="E1DFDD"/>
    </w:rPr>
  </w:style>
  <w:style w:type="paragraph" w:styleId="Vahedeta">
    <w:name w:val="No Spacing"/>
    <w:uiPriority w:val="1"/>
    <w:qFormat/>
    <w:rsid w:val="00150624"/>
    <w:pPr>
      <w:spacing w:after="0"/>
      <w:ind w:left="0" w:firstLine="0"/>
    </w:pPr>
    <w:rPr>
      <w:kern w:val="0"/>
      <w14:ligatures w14:val="none"/>
    </w:rPr>
  </w:style>
  <w:style w:type="character" w:styleId="Kommentaariviide">
    <w:name w:val="annotation reference"/>
    <w:basedOn w:val="Liguvaikefont"/>
    <w:uiPriority w:val="99"/>
    <w:semiHidden/>
    <w:unhideWhenUsed/>
    <w:rsid w:val="0082482F"/>
    <w:rPr>
      <w:sz w:val="16"/>
      <w:szCs w:val="16"/>
    </w:rPr>
  </w:style>
  <w:style w:type="paragraph" w:styleId="Kommentaaritekst">
    <w:name w:val="annotation text"/>
    <w:basedOn w:val="Normaallaad"/>
    <w:link w:val="KommentaaritekstMrk"/>
    <w:uiPriority w:val="99"/>
    <w:unhideWhenUsed/>
    <w:rsid w:val="0082482F"/>
    <w:rPr>
      <w:sz w:val="20"/>
      <w:szCs w:val="20"/>
    </w:rPr>
  </w:style>
  <w:style w:type="character" w:customStyle="1" w:styleId="KommentaaritekstMrk">
    <w:name w:val="Kommentaari tekst Märk"/>
    <w:basedOn w:val="Liguvaikefont"/>
    <w:link w:val="Kommentaaritekst"/>
    <w:uiPriority w:val="99"/>
    <w:rsid w:val="0082482F"/>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2482F"/>
    <w:rPr>
      <w:b/>
      <w:bCs/>
    </w:rPr>
  </w:style>
  <w:style w:type="character" w:customStyle="1" w:styleId="KommentaariteemaMrk">
    <w:name w:val="Kommentaari teema Märk"/>
    <w:basedOn w:val="KommentaaritekstMrk"/>
    <w:link w:val="Kommentaariteema"/>
    <w:uiPriority w:val="99"/>
    <w:semiHidden/>
    <w:rsid w:val="0082482F"/>
    <w:rPr>
      <w:rFonts w:ascii="Times New Roman" w:eastAsia="Times New Roman" w:hAnsi="Times New Roman" w:cs="Times New Roman"/>
      <w:b/>
      <w:bCs/>
      <w:kern w:val="0"/>
      <w:sz w:val="20"/>
      <w:szCs w:val="20"/>
      <w14:ligatures w14:val="none"/>
    </w:rPr>
  </w:style>
  <w:style w:type="character" w:customStyle="1" w:styleId="Pealkiri2Mrk">
    <w:name w:val="Pealkiri 2 Märk"/>
    <w:basedOn w:val="Liguvaikefont"/>
    <w:link w:val="Pealkiri2"/>
    <w:uiPriority w:val="9"/>
    <w:rsid w:val="009F36B0"/>
    <w:rPr>
      <w:rFonts w:ascii="Times New Roman" w:eastAsiaTheme="majorEastAsia" w:hAnsi="Times New Roman" w:cstheme="majorBidi"/>
      <w:kern w:val="0"/>
      <w:sz w:val="24"/>
      <w:szCs w:val="26"/>
      <w14:ligatures w14:val="none"/>
    </w:rPr>
  </w:style>
  <w:style w:type="character" w:customStyle="1" w:styleId="Pealkiri1Mrk">
    <w:name w:val="Pealkiri 1 Märk"/>
    <w:basedOn w:val="Liguvaikefont"/>
    <w:link w:val="Pealkiri1"/>
    <w:uiPriority w:val="9"/>
    <w:rsid w:val="00B5442F"/>
    <w:rPr>
      <w:rFonts w:ascii="Times New Roman" w:eastAsiaTheme="majorEastAsia" w:hAnsi="Times New Roman" w:cstheme="majorBidi"/>
      <w:b/>
      <w:kern w:val="0"/>
      <w:sz w:val="24"/>
      <w:szCs w:val="32"/>
      <w14:ligatures w14:val="none"/>
    </w:rPr>
  </w:style>
  <w:style w:type="paragraph" w:styleId="Redaktsioon">
    <w:name w:val="Revision"/>
    <w:hidden/>
    <w:uiPriority w:val="99"/>
    <w:semiHidden/>
    <w:rsid w:val="005B0DFE"/>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97246">
      <w:bodyDiv w:val="1"/>
      <w:marLeft w:val="0"/>
      <w:marRight w:val="0"/>
      <w:marTop w:val="0"/>
      <w:marBottom w:val="0"/>
      <w:divBdr>
        <w:top w:val="none" w:sz="0" w:space="0" w:color="auto"/>
        <w:left w:val="none" w:sz="0" w:space="0" w:color="auto"/>
        <w:bottom w:val="none" w:sz="0" w:space="0" w:color="auto"/>
        <w:right w:val="none" w:sz="0" w:space="0" w:color="auto"/>
      </w:divBdr>
    </w:div>
    <w:div w:id="1088500819">
      <w:bodyDiv w:val="1"/>
      <w:marLeft w:val="0"/>
      <w:marRight w:val="0"/>
      <w:marTop w:val="0"/>
      <w:marBottom w:val="0"/>
      <w:divBdr>
        <w:top w:val="none" w:sz="0" w:space="0" w:color="auto"/>
        <w:left w:val="none" w:sz="0" w:space="0" w:color="auto"/>
        <w:bottom w:val="none" w:sz="0" w:space="0" w:color="auto"/>
        <w:right w:val="none" w:sz="0" w:space="0" w:color="auto"/>
      </w:divBdr>
    </w:div>
    <w:div w:id="1228687178">
      <w:bodyDiv w:val="1"/>
      <w:marLeft w:val="0"/>
      <w:marRight w:val="0"/>
      <w:marTop w:val="0"/>
      <w:marBottom w:val="0"/>
      <w:divBdr>
        <w:top w:val="none" w:sz="0" w:space="0" w:color="auto"/>
        <w:left w:val="none" w:sz="0" w:space="0" w:color="auto"/>
        <w:bottom w:val="none" w:sz="0" w:space="0" w:color="auto"/>
        <w:right w:val="none" w:sz="0" w:space="0" w:color="auto"/>
      </w:divBdr>
    </w:div>
    <w:div w:id="1858274008">
      <w:bodyDiv w:val="1"/>
      <w:marLeft w:val="0"/>
      <w:marRight w:val="0"/>
      <w:marTop w:val="0"/>
      <w:marBottom w:val="0"/>
      <w:divBdr>
        <w:top w:val="none" w:sz="0" w:space="0" w:color="auto"/>
        <w:left w:val="none" w:sz="0" w:space="0" w:color="auto"/>
        <w:bottom w:val="none" w:sz="0" w:space="0" w:color="auto"/>
        <w:right w:val="none" w:sz="0" w:space="0" w:color="auto"/>
      </w:divBdr>
    </w:div>
    <w:div w:id="19846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Varv@maaruum.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10388</Characters>
  <Application>Microsoft Office Word</Application>
  <DocSecurity>0</DocSecurity>
  <Lines>86</Lines>
  <Paragraphs>24</Paragraphs>
  <ScaleCrop>false</ScaleCrop>
  <HeadingPairs>
    <vt:vector size="2" baseType="variant">
      <vt:variant>
        <vt:lpstr>Pealkiri</vt:lpstr>
      </vt:variant>
      <vt:variant>
        <vt:i4>1</vt:i4>
      </vt:variant>
    </vt:vector>
  </HeadingPairs>
  <TitlesOfParts>
    <vt:vector size="1" baseType="lpstr">
      <vt:lpstr>2. SELETUSKIRI_Vabariigi_Valitsuse_korralduse eelnõule_.docx</vt:lpstr>
    </vt:vector>
  </TitlesOfParts>
  <Company>KeMIT</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SELETUSKIRI_Vabariigi_Valitsuse_korralduse eelnõule_.docx</dc:title>
  <dc:subject/>
  <dc:creator>Tiina Vooro</dc:creator>
  <dc:description/>
  <cp:lastModifiedBy>Eike Pärnamägi - MKM</cp:lastModifiedBy>
  <cp:revision>2</cp:revision>
  <cp:lastPrinted>2026-01-16T13:48:00Z</cp:lastPrinted>
  <dcterms:created xsi:type="dcterms:W3CDTF">2026-02-16T07:32:00Z</dcterms:created>
  <dcterms:modified xsi:type="dcterms:W3CDTF">2026-02-16T07:32:00Z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2026-01-29T09:45:54Z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c7b0ed22-0df9-455d-9fcc-95b1f3192b60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